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BV.2015.00038 vom 19. Oktober 2016</w:t>
      </w:r>
    </w:p>
    <w:p>
      <w:r>
        <w:t>ZH Sozialversicherungsgericht, 2016-10-19, DE</w:t>
      </w:r>
    </w:p>
    <w:p>
      <w:r>
        <w:rPr>
          <w:b/>
        </w:rPr>
        <w:t xml:space="preserve">Quelle: </w:t>
      </w:r>
      <w:r>
        <w:t>https://mcp.opencaselaw.ch/entscheid/zh_sozialversicherungsgericht_BV.2015.00038</w:t>
      </w:r>
    </w:p>
    <w:p>
      <w:r>
        <w:t>FR: ZH_SOZIALVERSICHERUNGSGERICHT BV.2015.00038 du 19 octobre 2016</w:t>
      </w:r>
    </w:p>
    <w:p>
      <w:r>
        <w:t>IT: ZH_SOZIALVERSICHERUNGSGERICHT BV.2015.00038 del 19 ottobre 2016</w:t>
      </w:r>
    </w:p>
    <w:p>
      <w:pPr>
        <w:pStyle w:val="Heading2"/>
      </w:pPr>
      <w:r>
        <w:t>Erwägungen</w:t>
      </w:r>
    </w:p>
    <w:p>
      <w:r>
        <w:rPr>
          <w:b/>
        </w:rPr>
        <w:t>E. 20</w:t>
      </w:r>
    </w:p>
    <w:p>
      <w:r>
        <w:t>) , welchen die klägerischen Ausführungen nichts Substantielles entgegenzusetzen vermögen und auf welche verwiesen werden kann, unter Hinweis auf Lehre und Praxis zutreffend darlegte – weder ge gen zwingendes Verjährungsrecht (Art. 41 Abs. 2 des Bundesgesetzes über die berufliche Alters-, Hinterlassenen- und Invalidenvorsorge, BVG ) verstösst noch als ungewö hnlich im Sinne der Rechtsprechung (BGE 140 V 50 E. 2.2 mit Hinweisen) qualifiziert werden kann (vgl. dazu insbesondere Esther Amstutz, Die Begünstigtenordnung der beruflichen Vorsorge, Diss . Zürich 2014, S. 235 Rz 632), eine vom Vorsorger eglement der Beklagten abweichende Behandlung unter dem Blickwinkel des aus dem Grundsatz von Treu und Glauben fliessenden Vertrauensschutzes (Art. 9 der Bundesverfassung, BV) ausser Betracht fällt, da es an der dafür vorausgesetzten nachteiligen, nicht wieder rückgängig zu machende n Disposition (BGE 131 II 627 E. 6.1, 131 V 472 E. 5, 129 I 161 E. 4.1 , 121 V 65 E. 2a ) fehlt, namentlich</w:t>
      </w:r>
    </w:p>
    <w:p>
      <w:r>
        <w:t>von den Klagenden nicht geltend gemacht wurde , dass sie aufgrund des ( ungeschickt en ) Schreibens der Beklagten vom 11. Februar 2014 betreffend Prüfung der Leistungsansprüche (Urk. 2/8) nach bereits abgelaufener Frist irgendwelche nach teilige Vorkehren getroffen oder unterlassen h ätt en, sodass offenbleiben kann, ob dieses überhaupt eine hinreichende Vertrauensgrundlage bildete , dementsprechend die Beklagte einen Anspruch der Kla genden auf das Todesfallkapital</w:t>
      </w:r>
    </w:p>
    <w:p>
      <w:r>
        <w:t>ihres verstorbenen Sohnes A.___</w:t>
      </w:r>
    </w:p>
    <w:p>
      <w:r>
        <w:t>zu Recht verneinte, was zur Abweisung der Klage führt; in weiterer Erwägung, dass den Trägern der beruflichen Vorsorge gemäss BVG beziehungsweise den mit öffentlich-rechtlichen Aufgaben betrauten Organisationen in Anlehnung an die Rech tsprechung zu Art. 159 Abs. 2 des bis Ende 2006 in Kraft gestandenen Bundes gesetzes über die Organisation der Bundesrechtspflege (Bundesrech tspflegegesetz/OG) praxisgemäss keine Partei entschädigung en zugesprochen w e rd en</w:t>
      </w:r>
    </w:p>
    <w:p>
      <w:r>
        <w:t>und vorliegend – trotz des entsprechenden Antra ges der Beklagten (Urk. 8 S. 2 und Urk. 20 S. 2) – kein Anlass besteht, anders zu verfahren (vgl. BGE</w:t>
      </w:r>
    </w:p>
    <w:p>
      <w:r>
        <w:t>128 V 1</w:t>
      </w:r>
    </w:p>
    <w:p>
      <w:r>
        <w:rPr>
          <w:b/>
        </w:rPr>
        <w:t>E. 24</w:t>
      </w:r>
    </w:p>
    <w:p>
      <w:r>
        <w:t>E . 5b mit Hinweis ) , den Klagenden eine solche Entschädigung entsprechend dem Ausgang des Verfahrens nicht zusteht; erkennt das Gericht: 1.</w:t>
      </w:r>
    </w:p>
    <w:p>
      <w:r>
        <w:t>Die Klage wird abgewiesen. 2.</w:t>
      </w:r>
    </w:p>
    <w:p>
      <w:r>
        <w:t>Das Verfahren ist kostenlos. 3.</w:t>
      </w:r>
    </w:p>
    <w:p>
      <w:r>
        <w:t>Es</w:t>
      </w:r>
    </w:p>
    <w:p>
      <w:r>
        <w:t>werden keine Prozessentschädigung en zugesprochen. 4.</w:t>
      </w:r>
    </w:p>
    <w:p>
      <w:r>
        <w:t>Zustellung gegen Empfangsschein an: - Rechtsanwalt Dr. Kaspar Saner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