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BV.2015.00011 vom 12. Dezember 2016</w:t>
      </w:r>
    </w:p>
    <w:p>
      <w:r>
        <w:t>ZH Sozialversicherungsgericht, 2016-12-12, DE</w:t>
      </w:r>
    </w:p>
    <w:p>
      <w:r>
        <w:rPr>
          <w:b/>
        </w:rPr>
        <w:t xml:space="preserve">Quelle: </w:t>
      </w:r>
      <w:r>
        <w:t>https://mcp.opencaselaw.ch/entscheid/zh_sozialversicherungsgericht_BV.2015.00011</w:t>
      </w:r>
    </w:p>
    <w:p>
      <w:r>
        <w:t>FR: ZH_SOZIALVERSICHERUNGSGERICHT BV.2015.00011 du 12 décembre 2016</w:t>
      </w:r>
    </w:p>
    <w:p>
      <w:r>
        <w:t>IT: ZH_SOZIALVERSICHERUNGSGERICHT BV.2015.00011 del 12 dicembre 2016</w:t>
      </w:r>
    </w:p>
    <w:p>
      <w:pPr>
        <w:pStyle w:val="Heading2"/>
      </w:pPr>
      <w:r>
        <w:t>Erwägungen</w:t>
      </w:r>
    </w:p>
    <w:p>
      <w:r>
        <w:rPr>
          <w:b/>
        </w:rPr>
        <w:t>E. 1.1</w:t>
      </w:r>
    </w:p>
    <w:p>
      <w:r>
        <w:t>Anspruch auf Invalidenleistungen haben gemäss Art. 23 Abs. 1 des Bundesge setzes über die berufliche Alters-, Hinterlassenen und Invalidenvorsorge (BVG) Personen, die im Sinne der Invalidenversicherung zu mindestens 40 % invalid sind und bei Eintritt der Arbeitsunfähigkeit, deren Ursache zur Invalidität geführt hat, versichert waren. Nach Art. 24 Abs. 1 BVG hat der Versicherte Anspruch auf eine volle Invalidenrente, wenn er im Sinne der Invaliden versi che rung mindestens zu 70 %, auf eine</w:t>
      </w:r>
    </w:p>
    <w:p>
      <w:r>
        <w:t>Dreiviertelsrente , wenn er min destens zu 60 %, auf eine halbe Rente, wenn er mindestens zur Hälfte und auf eine Vier telsrente , wenn er mindestens zu 40 % invalid ist.</w:t>
      </w:r>
    </w:p>
    <w:p>
      <w:r>
        <w:rPr>
          <w:b/>
        </w:rPr>
        <w:t>E. 1.2</w:t>
      </w:r>
    </w:p>
    <w:p>
      <w:r>
        <w:t>Gemäss Abs. 1 von Art. 26 BVG gelten für den Beginn des Anspruchs auf Inva lidenleistungen sinngemäss die entsprechenden Bestimmungen des Bun desge setzes über die Invalidenversicherung (Art. 29 IVG). Die Invaliden l eistungen nach BVG werden von derjenigen Vorsorgeeinrichtung geschuldet, welcher die den Anspruch erhebende Person bei Eintritt des versicherten Ereignisses an ge schlossen war. Im Bereich der obligatorischen beruflichen Vorsorge fällt dieser Zeitpunkt nicht mit dem Eintritt der Invalidität nach IVG, sondern mit dem Eintritt einer erhebliche n und dauerhafte n Einbusse an funktionellem Leistungs vermögen im bisherigen Beruf oder Aufgabenbereich von mindestens 20 Prozen t zusammen (BGE 134 V 20 E. 3.2.2 S. 23; Urteile 9C_98/2013 vom 4. Juli 2013 E. 4.1 ).</w:t>
      </w:r>
    </w:p>
    <w:p>
      <w:r>
        <w:t>Nach der Rechtsprechung muss arbeitsrechtlich in Erscheinung treten, dass der Versicherte an Leistungsvermögen eingebüsst hat, so etwa durch einen Abfall der Leistungen mit entsprechender Feststellung oder gar Ermahnung des Arbeit gebers oder durch gehäufte, aus dem Rahmen fallende gesundheitlich bedingte Arbeitsausfälle. Mit anderen Worten: Die Leistungseinbusse muss in aller Regel dem seinerzeitigen Arbeitgeber aufgefallen sein. Eine erst nach Jahren rückwir 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 ie ordentlicherweise echtzeitli cher Natur ist. Der Zeitpunkt des Eintritts der Arbeitsunfähigkeit muss mit dem im Sozialversicherungsrecht üblichen Beweisgrad der überwiegenden Wahrschein lichkeit nachgewiesen sein. Dieser Nachweis darf nicht durch nachträgliche er werbliche oder medizinische Annahmen und spekulative Überlegungen ersetzt werden (Urteile des Bundesgerichts 8C_41/2011 vom 17. Mai 2011 E.</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 nehmer beim Eintritt der Arbeitsunfähigkeit angeschlossen war, für das erst nach Beendigung des Vorsorgeverhältnisses eingetretene Invaliditätsrisiko auf zukommen hat, ist indes erforderlich, dass zwische n Arbeitsunfähigkeit und Invali 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Spätfolgen einer Krankheit einzustehen, die erst Jahre nach Wiedererlan gung der vollen Arbeitsfähigkeit eintreten. Demnac h darf nicht bereits eine Unter bre chung des zeitlichen Zusammenhangs angenommen werden, wenn die Per son bloss für kurze Zeit wieder an die Arbeit zurückgekehrt ist. Ebenso wenig darf die Frage des zeitlichen Zusammenhangs zwischen Arb eitsunfähigkeit und Inva lidität in schematischer (analoger) Anwendung der Regeln von Art. 88a Abs. 1 der Verordnung über die Invalidenversicherung (IVV) beurteilt werden, wonach eine anspruchsbeeinflussend e Verbesserung der Erwerbsfähig keit in jedem Fall zu berücksichtigen ist, wen n sie ohne wesentliche Unterbre chung drei Monate gedauert hat und voraussic htlich andauern wird. Zu berück sichti gen sind vielmehr die gesamte n Umstände des konkreten Einzel falles, nament lich die Art des Gesundheitsschadens , dessen prognostische ärztliche Beur tei lung und die Beweggründe, die di e versicherte Person zur Wieder aufnahme der Arbeit veranlasst haben (BGE 123 V 262 E. lc , 120 V 112 E. 2c/ aa und 2c/ bb mit Hinweisen).</w:t>
      </w:r>
    </w:p>
    <w:p>
      <w:r>
        <w:rPr>
          <w:b/>
        </w:rPr>
        <w:t>E. 2</w:t>
      </w:r>
    </w:p>
    <w:p>
      <w:r>
        <w:t>IVG) berufsvorsorgerechtlich leistungspflichtig und bleibt sie es, solange die Kontinuität der Anspruchsgrundlage anhält. Demzufolge ist sie in Gutheis sung der Klage zu verpflichten, dem Kläger rückwirkend ab 1 . August 2012 eine ganze Invalidenrente der beruflichen Vorsorge auszurichten.</w:t>
      </w:r>
    </w:p>
    <w:p>
      <w:r>
        <w:rPr>
          <w:b/>
        </w:rPr>
        <w:t>E. 2.1</w:t>
      </w:r>
    </w:p>
    <w:p>
      <w:r>
        <w:t>Die Beklagte bestreitet nicht, dass die Zusprache einer ganzen Rente der Inva lidenversicherung ab 1. August 2012 aufgrund des gleichen Gesundheits schadens erfolgte, dessentwegen der Kläger bereits in der Zeit, als er bei ihr ver sichert war, arbeitsunfähig war (vgl. Urk. 1 S. 11) . Sie weist jedoch darauf hin, dass der Fortbestand der während der Versicherungszeit bei ihr eingetretenen Arbeitsunfähigkeit (vgl. Sachverhalt Ziff. 1.1) nur bis zum 8 . Dezember 2009 bzw. 13. Januar 2010 (Urk. 25 S. 3) ärztlich attestiert sei. Für die Zeit vom 9. Dezember 2009 bzw. 14. Januar 2010 bis 6. Dezember 2011, das heisse für zwei Jahre, lägen keine echtzeitliche Arzt- oder Therapieberichte vor (Urk. 1 S. 7) . Während dieser Zeit habe der Kläger keinerlei Therapien durchgeführt bzw. habe er sich bis zum 5. Oktober 2010</w:t>
      </w:r>
    </w:p>
    <w:p>
      <w:r>
        <w:t>als uneingeschränkt arbeitsfähig bezeichnet und dementsprechend Taggelder der Arbeitslosenversicherung bezo gen, arbeitsmarktliche Massnahmen absolviert sowie - an wenigen Tagen - Zwischenverdiensttätigkeiten bei seinem früheren Arbeitgeber ausgeübt . Es sei daher davon auszugehen, dass der Kläger - den Prognose n</w:t>
      </w:r>
    </w:p>
    <w:p>
      <w:r>
        <w:t>des Austrittsbericht s des Z.___ vom 29. Juni 2009 (Urk. 16/21) und des Berichts vom 13. Januar 2010 über die dortige Nachuntersuchung (Urk. 20) entsprechend - bis zur Verschlechterung des Gesundheitszustands im Dezember 2011 uneingeschränkt eine leichte bis mittelschwere wechselbelastende Tätigkeit hätte ausüben können (Urk. 1 S. 7 f. und Urk. 25 ). Durch die Wiedererlangung der vollen Arbeitsfähigkeit über einen Zeitraum von rund zwei Jahren sei der zeitliche Zusammenhang zwischen der währen d der Versicherungsdauer bei der Beklag ten eingetretenen Arbeitsunfähigkeit und der ab Dezember 2011 durch echtzeit liche ärztliche Berichte ausgewiesenen Invalidität unterbrochen worden .</w:t>
      </w:r>
    </w:p>
    <w:p>
      <w:r>
        <w:rPr>
          <w:b/>
        </w:rPr>
        <w:t>E. 2.2</w:t>
      </w:r>
    </w:p>
    <w:p>
      <w:r>
        <w:t>und 9C_108/2013 vom 24. Juli 2013 E. 4.2) .</w:t>
      </w:r>
    </w:p>
    <w:p>
      <w:r>
        <w:rPr>
          <w:b/>
        </w:rPr>
        <w:t>E. 2.2.1</w:t>
      </w:r>
    </w:p>
    <w:p>
      <w:r>
        <w:t>Eine genaue Analyse des medizinischen Sachverhalts, aus dem die Beklagte einen Unterbruch des engen zeitlichen Zusammenhangs zwischen der während der Versicherungszeit bei ihr eingetretenen Arbeitsunfähigkeit und der ab Dezember 2011 ausgewiesenen Invalidität ableitet, zeigt , dass der Kläger in dem rund zweijährigen Zeitraum zwischen Dezember 2009/Januar 2010 und Dezem ber 2011 zwar mangels anderslautender echtzeitlicher ärztlicher Atteste mit überwiegender Wahrscheinlichkeit für leichte, wechselbelastende und nacken schonende Tätigkeiten ganztägig einsatzfähig war, er damit aber seine vor April 2009 (vgl. Urk. 10 S. 4) bestandene Arbeitsfähigkeit nicht v ollständig wiederer langt hatte.</w:t>
      </w:r>
    </w:p>
    <w:p>
      <w:r>
        <w:rPr>
          <w:b/>
        </w:rPr>
        <w:t>E. 2.2.2</w:t>
      </w:r>
    </w:p>
    <w:p>
      <w:r>
        <w:t>Gemäss dem Austrittsbericht des Spitals Z.___ vom 29. Juni 2009 bezüglich des Spitalaufenthalts des Kläge rs vom 4. bis zum 20. Juni 2009 (Urk. 16/21) erfolgte die Zuweisung zur stationären Behandlung wegen eines therapieresistenten zervikoradikulären Schmerzsyndroms links . Bildgebend wurde dazu Folgendes dokumentiert: - Unkovertebralarthrose mit medianer bis mediolateraler Diskushernie C5/6 links mit Spinalkanaleinengung und Tangierung von C6 lin ks; - Unkovertebralarthrose mit Retrospondylophyten , medianer bis mediolateraler Diskushernie C6/7 links mit Spinalkanaleinengung und deutliche foraminale Stenose bds (MRI-HWS 5/09 ); - mediane bis mediolaterale Diskushernie C3/4 und C4/5 links ohne relevante Einengung des Spinalkanals (klinisch nicht relevant).</w:t>
      </w:r>
    </w:p>
    <w:p>
      <w:r>
        <w:t>Sensomotorische Defizite wurden bis zum Austritt keine festgestellt. Die Schmerzsituation hatte sich laut dem Verlaufsbericht leicht gebessert. An Ein schränkungen der Arbeitsfähigkeit wurde nebst der Schmerzproblematik festge halten, dass eine Behinderung bei Arbeiten über Schulterhöhe und bei monoto nen HWS-Stellungen bestehe, insbesondere in Flexion und Extensionshaltung. Es wurde über den Spitalaustritt hinaus weiterhin eine vollständige Arbeitsun fähigkeit bis 7. Juli 2009 attestiert. Dies verbunden mit den Hinweisen, dass die zuletzt ausgeübte Tätigkeit als Lagerist gekündigt sei und dass bei günstigem Verlauf bzw. Regredienz der Schmerzausstrahlung medizinisch-theoretisch ein Wiedereinstieg für eine geeignete leichte bis mittelschwere wechselbelastende Tätigkeit möglich sei.</w:t>
      </w:r>
    </w:p>
    <w:p>
      <w:r>
        <w:t>Im gestützt auf die Krankengeschichte des Jahres 2009 erstellten Bericht des nämlichen Spitals vom 30. Oktober 2012 (Urk. 16/47/6) werden ein rückläufiges zervikoradikuläres Reizsyndrom und ein sensorisches Ausfalls-Syndrom C6 links diagnostiziert. Weiter ist ersichtlich, dass der Versicherte dort bis zum 8. Dezember 2009 ambulant weiterbehandelt wurde und dass die im Bericht vom 29. Juni 2009 attestierte 100%ige Arbeitsunfähigkeit vom 4. Juni bis zum 6. November 2009 dauerte bzw. ab dem 7. November 2009 auf 50 % veran schlagt wurde (Urk. 16/47/6).</w:t>
      </w:r>
    </w:p>
    <w:p>
      <w:r>
        <w:t>Im Bericht des Spitals Z.___ vom 13. Januar 2010 (Urk. 20) werden die Diagnosen aus den vorangegangenen Berichten bestätigt und ist die Rede von einem intermittierenden Verlauf des Reizsyndroms mit Tendenz zu Besserung . Dementsprechend wird für den Berichtszeitpunkt nur noch eine Arbeitsunfähig keit von 50 % in der angestammten Tätigkeit als Lagerist attestiert (ab 7. November 2009).</w:t>
      </w:r>
    </w:p>
    <w:p>
      <w:r>
        <w:rPr>
          <w:b/>
        </w:rPr>
        <w:t>E. 2.2.3</w:t>
      </w:r>
    </w:p>
    <w:p>
      <w:r>
        <w:t>In den von der IV-Stelle nach der Anmeldung des Klägers zum Leistungsbezug eingeholten Sprechstundenberichten der Klinik C.___ vom 1 0. und 24. Januar 2012 (Urk. 16/6-7) wird eine schmerzbedingt eingeschränkte HWS- Beweglichkeit beschrieben, vor allem im Bereich der Reklination und der Seitenrotation nach links mit Schmerzausstrahlung bis in die Finger der linken Hand entsprechend dem C6-Dermatom. Bildgebend (externes MRI HWS vom 13. Dezember 2011) werden folgende Befunde erhoben: Kyphose im Segment C5-C7 mit Disk usprotrusion C5/6 und C6/7 mit K ompression der C7-Wurzel rech ts und T angierung der C6-Wurzel links , durch breitbasige</w:t>
      </w:r>
    </w:p>
    <w:p>
      <w:r>
        <w:t>Diskusprotrusion dort.</w:t>
      </w:r>
    </w:p>
    <w:p>
      <w:r>
        <w:rPr>
          <w:b/>
        </w:rPr>
        <w:t>E. 2.2.4</w:t>
      </w:r>
    </w:p>
    <w:p>
      <w:r>
        <w:t>Da im letzten aktenkundigen ärztlichen Bericht (des Spitals Z.___ vom 13. Januar 2010) vor der berichtslosen Periode zwischen Mitte Januar 2010 und Dezember 2011 von einem „intermittierenden Verlauf des Reizsyndroms mit Tendenz zu Besserung “ berichtet wird, darf zwar mit der Beklagten als über wiegend wahrscheinlich angenommen werden, dass - mangels anderslautender ärztlicher Beurteilungen - der im Austrittsbericht vom 29. Juni 2009 als mög lich bezeichnete günstige Verlauf bzw. die Regredienz der Schmerzausstrahlung ab Februar 2010 tatsächlich eingetreten ist und dem arbeitslos en Kläger den Wiedereinstieg in eine geeignete leichte bis mittelschwere wechselbelastende Tätigkeit erlaubt hätte.</w:t>
      </w:r>
    </w:p>
    <w:p>
      <w:r>
        <w:t>I n Anknüpfung an den letzten Halbsatz von Erwägung 2.2.1 ist aber zu beach ten , dass die Regredienz der Schmerzsymptomatik nicht bedeutet, dass der Klä ger seine vor der Arbeitslosigkeit ausgeübte Tätigkeit als Lagerist oder eine beliebige andere seinen beruflichen Qualifikationen entsprechende Hilfsarbei tertätigkeit</w:t>
      </w:r>
    </w:p>
    <w:p>
      <w:r>
        <w:t>wieder völlig uneingeschränkt</w:t>
      </w:r>
    </w:p>
    <w:p>
      <w:r>
        <w:t>ausüben konnte. Hatten</w:t>
      </w:r>
    </w:p>
    <w:p>
      <w:r>
        <w:t>die Ärzte doch aufgrund der Befunde über ausgeprägte degenerati ve Veränderungen im HWS-Bereich</w:t>
      </w:r>
    </w:p>
    <w:p>
      <w:r>
        <w:t>die grundsätzliche Unzumutbarkeit von Arbeiten über Schulter höhe und in monotonen HWS-Stellungen, insbesondere in Flexion und Exten sionshaltung attestiert (vgl. E. 2.2.2). Diese qualitativen Einschränken der Arbeitsfähigkeit bestanden auch</w:t>
      </w:r>
    </w:p>
    <w:p>
      <w:r>
        <w:t>während des Zeitraums, für welchen keine (die Arbeitsfähigkeit quantitativ einschränkende) Schmerzsymptomatik nachzuwei sen ist. Die für die qualitativen Einschränkungen verantwortlichen degenerati ven Veränderungen an der HWS hatten sich z wischen 2009 und 2011 nicht etwa zurückgebildet , sondern waren im Gegenteil fortgeschritten (vgl. E. 2.2.3).</w:t>
      </w:r>
    </w:p>
    <w:p>
      <w:r>
        <w:rPr>
          <w:b/>
        </w:rPr>
        <w:t>E. 2.2.5</w:t>
      </w:r>
    </w:p>
    <w:p>
      <w:r>
        <w:t>In Körperkraft und Beweglichkeit erfordernden Hilfsa rbeitertätigkeiten , redu zieren</w:t>
      </w:r>
    </w:p>
    <w:p>
      <w:r>
        <w:t>qualitative Einschränkungen der Arbeitsfähigkeit das Spektrum geeigne ter Stellen auf dem ausgeglichenen Arbeitsmar kt (vgl. Art. 7</w:t>
      </w:r>
    </w:p>
    <w:p>
      <w:r>
        <w:t>ATSG) erheblich.</w:t>
      </w:r>
    </w:p>
    <w:p>
      <w:r>
        <w:t>In der Invalidenversicherung wird dem b ei der Invaliditätsbemessung gegebenen falls mit einem Abzug von bis zu 25 % auf einem bei zumutbarer Vollzeittätig keit hypothetisch erzielbaren Invalideneinkommen Rechnung getragen (vgl. BGE 126 V 75) .</w:t>
      </w:r>
    </w:p>
    <w:p>
      <w:r>
        <w:t>Auch bei der im vorliegenden Fall zu beantwortenden Frage nach dem zeitli chen Zusammenhang zwischen der während der Versicherungsdauer bei der Beklagten eingetretenen Arbeitsunfähigkeit und der ab Dezember 2011 durch echtzeitliche ärztliche Berichte ausgewiesenen Invalidität (vgl. E. 2.1) darf der ununterbrochene Bestand einer durch bildgebende Befunde nachgewiesenen erheblichen qualitativen Ein schränkung der Arbeitsfähigkeit nicht ausser Acht gelassen werden. D as prozentuale Aus mass</w:t>
      </w:r>
    </w:p>
    <w:p>
      <w:r>
        <w:t>der daraus resultierenden erwerbli chen Einbusse ist für die Bejahung eines ununterbrochenen zeitlichen Zusammenhangs weniger entscheidend als die Objektivierbarkeit ein er g emein samen</w:t>
      </w:r>
    </w:p>
    <w:p>
      <w:r>
        <w:t>- die Periode ohne Nachweis einer quantitativen Einschränkung über dauernden - Ursache von quantitativen und qualitativen Einschränkungen der Arbeitsfähigkeit während der Versicherungszeit bei der Beklagten (als die objektivierbaren degenerativen Veränderungen an der HWS erstmals in einem die Arbeitsfähigkeit signifikant einschränkenden Mass symptomatisch geworden waren) und bei der späteren Feststellung der darauf zurückzuführenden Invali dität .</w:t>
      </w:r>
    </w:p>
    <w:p>
      <w:r>
        <w:t>Deshalb kann im vorliegenden Fall aus dem Umstand, dass nach der Versiche rung s zeit bei der Beklagten über einen Zeitraum von rund zwei Jahren keine echtzeitliche ärztliche Bescheinigung einer quantitativen Einschränkung der Arbeitsfähigkeit des Klägers mehr aktenkundig ist, nicht geschlossen werden, es sei der zeitliche Zusammenhang zwischen der während der Versicherungsdauer bei der Beklagten eingetretenen Arbeitsunfähigkeit und der ab Dezember 2011 durch echtzeitliche ärztliche Berichte ausgewiesenen Invalidität unterbrochen worden. Vielmehr ist für den Zeitraum von 2009 bis 2011 von einer - invali denversicherungsrechtlich erheblichen - kontinuierlichen qualitativen Ein schränkung der Arbeitsfähigkeit mit intermittierend auch quantitativen Limi tierungen aufgrund der nämlichen Gesundheitsstörung auszug ehen.</w:t>
      </w:r>
    </w:p>
    <w:p>
      <w:r>
        <w:rPr>
          <w:b/>
        </w:rPr>
        <w:t>E. 2.3</w:t>
      </w:r>
    </w:p>
    <w:p>
      <w:r>
        <w:t>Zufolge d er sachlichen und zeitlichen Kontinuität der Gesundheitsstörung, wel che die Arbeitsfähigkeit des Klägers während der Versicherungszeit bei der Beklagten erstmals erheblich eingeschränkt hatte , bis zum Zeitpunkt, in wel chem sich der Kläger zum Leistungsbezug bei der Invalidenversicherung anmel dete bzw. ab welchem dem Kläger Leistungen Invalidenversicherung zugespro chen wurden ( 1. August 2012 , vgl. Urk. 16/81) , blieb die Beklagte</w:t>
      </w:r>
    </w:p>
    <w:p>
      <w:r>
        <w:t>zumindest - ab Beginn des invalidenversicherungsrechtlichen Rentenan spruchs im gleichen Umfang wie die Invalidenversicherung (vgl. Art 24 Abs. 1 BVG und Art. 28 Abs.</w:t>
      </w:r>
    </w:p>
    <w:p>
      <w:r>
        <w:rPr>
          <w:b/>
        </w:rPr>
        <w:t>E. 2.4</w:t>
      </w:r>
    </w:p>
    <w:p>
      <w:r>
        <w:t>Die bis zum Zeitpunkt der Klageerhebung aufgelaufene Schuld der Beklagten ist ab jenem Zeitpunkt mit 5 % zu verzinsen, ebenso wie die monatlichen Renten betreffnisse nach jenem Datum ab dem Ze itpunkt ihrer jeweiligen Fällig keit.</w:t>
      </w:r>
    </w:p>
    <w:p>
      <w:r>
        <w:rPr>
          <w:b/>
        </w:rPr>
        <w:t>E. 3</w:t>
      </w:r>
    </w:p>
    <w:p>
      <w:r>
        <w:t>Die Beklagte wird verpflichtet, dem Kläger eine Prozessentschädigung von Fr. 2 ‘ 800 .-- (inkl. Barauslagen und MWSt ) zu bezahlen.</w:t>
      </w:r>
    </w:p>
    <w:p>
      <w:r>
        <w:rPr>
          <w:b/>
        </w:rPr>
        <w:t>E. 4</w:t>
      </w:r>
    </w:p>
    <w:p>
      <w:r>
        <w:t>Zustellung gegen Empfangsschein an: - Rechtsanwalt Thomas Stark - Advokatin Gertrud Baud - Bundesamt für Sozialversicherungen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