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BV.2014.00090 vom 22. Dezember 2015</w:t>
      </w:r>
    </w:p>
    <w:p>
      <w:r>
        <w:t>ZH Sozialversicherungsgericht, 2015-12-22, DE</w:t>
      </w:r>
    </w:p>
    <w:p>
      <w:r>
        <w:rPr>
          <w:b/>
        </w:rPr>
        <w:t xml:space="preserve">Quelle: </w:t>
      </w:r>
      <w:r>
        <w:t>https://mcp.opencaselaw.ch/entscheid/zh_sozialversicherungsgericht_BV.2014.00090</w:t>
      </w:r>
    </w:p>
    <w:p>
      <w:r>
        <w:t>FR: ZH_SOZIALVERSICHERUNGSGERICHT BV.2014.00090 du 22 décembre 2015</w:t>
      </w:r>
    </w:p>
    <w:p>
      <w:r>
        <w:t>IT: ZH_SOZIALVERSICHERUNGSGERICHT BV.2014.00090 del 22 dicembre 2015</w:t>
      </w:r>
    </w:p>
    <w:p>
      <w:pPr>
        <w:pStyle w:val="Heading2"/>
      </w:pPr>
      <w:r>
        <w:t>Erwägungen</w:t>
      </w:r>
    </w:p>
    <w:p>
      <w:r>
        <w:rPr>
          <w:b/>
        </w:rPr>
        <w:t>E. 1.1</w:t>
      </w:r>
    </w:p>
    <w:p>
      <w:r>
        <w:t>Anspruch auf Invalidenleistungen haben gemäss Art. 23 Abs. 1 des Bundesgeset zes über die berufliche Alters-, Hinterlassenen und Invalidenvor sorge (BVG) Personen, die im Sinne der Invalidenversicherung zu mindestens 40 % invalid sind und bei Eintritt der Arbeitsunfähigkeit, deren Ursache zur In validität geführt hat, versichert waren. Nach Art. 24 Abs. 1 BVG hat der Versi cherte Anspruch auf eine volle Invalidenrente, wenn er im Sinne der Invaliden versicherung mindestens zu 70 %, auf eine Dreiviertelsrente , wenn er mindes tens zu 60 %, auf eine halbe Rente, wenn er mindestens zur Hälfte und auf eine Viertelsrente , wenn er mindestens zu 40 % invalid ist.</w:t>
      </w:r>
    </w:p>
    <w:p>
      <w:r>
        <w:rPr>
          <w:b/>
        </w:rPr>
        <w:t>E. 1.2</w:t>
      </w:r>
    </w:p>
    <w:p>
      <w:r>
        <w:t>Bereits am 30. November 2005 hatte der Versicherte mit der Z.___ einen Arbeitsvertrag geschlossen mit Stellenantritt am 1. März 2006 (Urk. 2/9). Im Rahmen dieses Arbeitsverhältnisses war der Versicherte bei der Sammelstiftung BVG der Allianz Suisse Lebensversicherungs-Gesellschaft (nachfolgend: Sammelstiftung Allianz) berufsvorsorgeversichert (vgl. Urk. 2/1). Am 21. Dezember 2005 unterzeichnete der Versicherte das Formular „Anmel dung zur Kollektivversicherung - Berufliche Vorsorge“ der Sammelstiftung Alli anz und beantwortete dabei die Frage „Hat die zu versichernde Person einen Antrag für den Leistungsbezug bei einer Sozialversicherung (z.B. IV, UV, MV) bzw. anderen Versicherungen gestellt bzw. besitzt sie einen Entscheid einer sol chen?“ mit „nein“ (Urk. 9/1).</w:t>
      </w:r>
    </w:p>
    <w:p>
      <w:r>
        <w:t>Mit Verfügung vom 9. Februar 2010 (Urk. 2/10) erklärte die IV-Stelle die berufli che Eingliederung als abgeschlossen.</w:t>
      </w:r>
    </w:p>
    <w:p>
      <w:r>
        <w:rPr>
          <w:b/>
        </w:rPr>
        <w:t>E. 1.2.1</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Obligatio nenrechts. Das Reglement stellt den vorformulierten Inhalt des Vorsorgevertra 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 den getroffen werden können. Allerdings bedarf es hiefür einer entsprechenden Vereinbarung zwischen der Vorsorgeeinrichtung und dem versicherten Arbeit nehmer (BGE 131 V 27 E. 2.1, 122 V 142 E. 4b).</w:t>
      </w:r>
    </w:p>
    <w:p>
      <w:r>
        <w:rPr>
          <w:b/>
        </w:rPr>
        <w:t>E. 1.2.2</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abzustellen, sondern auf den objektiven Sinn seines Erklärungsverhaltens. Der Erklärende hat gegen sich gelten zu lassen, was ein vernünftiger und kor rekter Mensch unter der Erklärung verstehen durfte. Weiter sind die besonderen Auslegungsregeln bei Allgemeinen Geschäfts- oder Versicherungsbedingungen zu beachten, insbesondere die Unklarheits- und die Ungewöhnlichkeitsregel (BGE 132 V 149 E. 5, 130 V 80 E. 3.2.2, 122 V 142 E. 4c).</w:t>
      </w:r>
    </w:p>
    <w:p>
      <w:r>
        <w:rPr>
          <w:b/>
        </w:rPr>
        <w:t>E. 1.3</w:t>
      </w:r>
    </w:p>
    <w:p>
      <w:r>
        <w:t>Am 19. Juni 2012 meldete sich der Versicherte erneut bei der IV-Stelle des Kan tons Bern zum Leistungsbezug an, dieses Mal unter Hinweis auf eine Colitis</w:t>
      </w:r>
    </w:p>
    <w:p>
      <w:r>
        <w:t>Ulcerosa (Urk. 2/11). Mit Verfügungen vom 1. Februar 2013 (Urk. 2/14) sprach die IV-Stelle dem Versicherten für den Monat Januar 2012 eine halbe Rente und mit Wirkung ab 1. Februar 2012 eine ganze Rente der Eidgenössischen Invali denversicherung zu.</w:t>
      </w:r>
    </w:p>
    <w:p>
      <w:r>
        <w:rPr>
          <w:b/>
        </w:rPr>
        <w:t>E. 1.3.1</w:t>
      </w:r>
    </w:p>
    <w:p>
      <w:r>
        <w:t>Während in der obligatorischen beruflichen Vorsorge aus gesundheitlichen Grün den keine Vorbehalte angebracht werden dürfen (BGE 115 V 215), sind die Vorsorgeeinrichtungen im Bereich der weitergehenden Vorsorge im Rahmen von Art. 49 Abs. 2 BVG sowie der verfassungsmässigen Schranken (wie Rechts gleichheit , Willkürverbot und Verhältnismässigkeit) in der Vertragsgestaltung grundsätzlich frei (vgl. dazu Thomas Gächter /Kaspar Saner , in: Jacques-André Schneider/Thomas Geiser/Thomas Gächter , BVG und FZG, Bern 2010, N 1 ff. zu Art. 49 BVG mit Hinweisen). Insbesondere können sie die Aufnahme in die Vollversicherung an gewisse Anforderungen des Gesundheitszustandes knüpfen, indem sie beispielsweise einen befristeten oder unbefristeten gesundheitlichen Vorbehalt anbringen (BGE 115 V 223 E. 6). Gemäss Art. 14 Abs. 1 des Bundes gesetzes über die Freizügigkeit in der beruflichen Alters-, Hinterlassenen- und Invalidenvorsorge (FZG) darf der Vorsorgeschutz, der mit der eingebrachten Austrittsleistung erworben wird, nicht durch einen neuen gesundheitlichen Vor behalt geschmälert werden. Die bei der früheren Vorsorgeeinrichtung abgelau fene Zeit eines Vorbehalts ist auf die neue Vorbehaltsdauer anzurechnen. Für die Versicherten günstigere Bedingungen der neuen Vorsorgeeinrichtung gehen vor (Art. 14 Abs. 2 FZG).</w:t>
      </w:r>
    </w:p>
    <w:p>
      <w:r>
        <w:rPr>
          <w:b/>
        </w:rPr>
        <w:t>E. 1.3.2</w:t>
      </w:r>
    </w:p>
    <w:p>
      <w:r>
        <w:t>In BGE 134 III 51 1 E. 3.1 hat das Bundesgericht unter Hinweis auf seine stän dige Praxis festgehalten, dass sich die Verletzung der Anzeigepflicht und deren Folgen im Bereich der weitergehenden beruflichen Vorsorge nach de n statuta rischen und/oder reglementarischen Normen richten. Falls derartige statutari sche oder reglementarische Bestimmungen fehlen sollten , kommen subsidiär und analogieweise die Bestimmungen von Art. 4 ff. des Bundesgesetzes über den Versicherungsvertrag (VVG) zur Anwendung (vgl. dazu auch Hermann Walser, in: Jacques-André Schneider/Thomas Geiser/Thomas Gächter , BVG und FZG, Bern 2010, N 11 zu Art. 14 FZG mit Hinweisen).</w:t>
      </w:r>
    </w:p>
    <w:p>
      <w:r>
        <w:rPr>
          <w:b/>
        </w:rPr>
        <w:t>E. 1.4</w:t>
      </w:r>
    </w:p>
    <w:p>
      <w:r>
        <w:t>Bereits mit Schreiben vom 14. Januar 2013 (Urk. 2/15) hatte die Sammelstiftung Allianz, die in das invalidenrechtliche Verfahren einbezogen worden war, dem Versicherten mit geteilt , dass eine von ihm begangene Anzeigepflichtverletzung vorliege. Deshalb kündige sie den Vertrag der überobligatorischen Vorsorge gemäss Vorsorgeplan der Z.___ in Bezug auf das Ri siko Invalidität. Im Umfang der die gesetzlichen Minimalvorschriften überstei genden Leistungen verweigere man somit sämtliche Leistungen und Beitragsbe freiungsansprüche . Allfällige zukünftige Leistungen würden nur im Rahmen des gesetzlichen Minimums erbracht werden.</w:t>
      </w:r>
    </w:p>
    <w:p>
      <w:r>
        <w:t>Am 21. Januar 2013 nahm der Versicherte zum genannten Schreiben der Sam melstiftung Allianz Stellung und bedauerte sein Versehen (Urk. 2/16). Die Sammelstiftung Allianz teilte ihm am 14. Februar 2013 mit , dass sie ihm ab 1. November 2012 eine auf einem Invaliditätsgrad von 100 % basierende Inva lidenrente auf Basis der Minimalleistungen nach BVG in der Höhe von jährlich Fr. 10'322. ausrichte (Urk. 2/17).</w:t>
      </w:r>
    </w:p>
    <w:p>
      <w:r>
        <w:t>In der Folge entwickelte sich zwischen den Parteien ein kontrovers geführter Briefwechsel betreffend die Folgen der Anzeigepflichtverletzung (vgl. Urk. 2/</w:t>
      </w:r>
    </w:p>
    <w:p>
      <w:r>
        <w:t>18-19), der ergebnislos blieb.</w:t>
      </w:r>
    </w:p>
    <w:p>
      <w:r>
        <w:rPr>
          <w:b/>
        </w:rPr>
        <w:t>E. 2</w:t>
      </w:r>
    </w:p>
    <w:p>
      <w:r>
        <w:t>Mit Eingabe vom 1. Dezember 2014 (Urk. 1) liess der Versicherte Klage gegen die Sammelstiftung Allianz erheben mit folgendem Rechtsbegehren: Die Beklagte sei zu verurteilen, dem Kläger ab dem 01. November 2012 eine ganze Rente sowie allfällige entsprechende Kinderrenten gemäss den reglementarischen Grundsätzen (überobligatorisch) zu bezahlen, zuzüglich Zins seit wann rechtens. Unter Kosten- und Entschädigungsfolge.</w:t>
      </w:r>
    </w:p>
    <w:p>
      <w:r>
        <w:t>Die Sammelstiftung Allianz schloss in ihrer Klageantwort vom 6. März 2015 (Urk. 8) auf kosten- und entschädigungsfällige Abweisung der Klage. Replican do liess der Versicherte grundsätzlich an seinem Rechtsbegehren festhalten; er liess jedoch seinen Antrag auf Zusprache allfälliger Kinderrenten mangels an spruchsberechtigter Kinder zurückziehen ( Urk. 12) . Duplicando hielt die Sam melstiftung Allianz an ihrem Abweisungsantrag fest (Urk. 17). Am 26. August 2015 wurden die Akten der Eidgenössischen Invalidenversicherung in Sachen des Versicherten beigezogen (Urk. 19). Mit Verfügung vom 15. Oktober 2015 ( Urk. 23; vgl. auch Urk. 24/1-2) wurde den Parteien Frist zur Stellungnahme zu den beigezogenen Akten (Urk. 22) angesetzt. Der Versicherte liess sich nicht dazu vernehmen. Die Sammelstiftung Allianz reichte am 6. November 2015 eine Stellungnahme ins Recht (Urk. 25), wovon dem Versicherten Kenntnis gegeben wurde (Urk. 26).</w:t>
      </w:r>
    </w:p>
    <w:p>
      <w:r>
        <w:t>Auf die Ausführungen der Parteien ist, soweit für die Entscheidfindung erforder lich, in den Erwägungen einzugehen. Das Gericht zieht in Erwägung: 1.</w:t>
      </w:r>
    </w:p>
    <w:p>
      <w:r>
        <w:rPr>
          <w:b/>
        </w:rPr>
        <w:t>E. 2.1</w:t>
      </w:r>
    </w:p>
    <w:p>
      <w:r>
        <w:t>Der Kläger liess zur Begründung der Klage im Wesentlichen vortragen, dass er sich am 25. September 2002 erstmals bei der Eidgenössischen Invalidenversi cherung zum Leistungsbezug wegen wiederkehrender Schmerzen und Fieber schüben , die sich hernach als Folgen eines Zeckenbisses herausgestellt hätten, angemeldet habe. Es sei jedoch lediglich ein Invaliditätsgrad von 13 % ermittelt worden, weshalb mit Verfügung vom 22. Juni 2005 und mit Einspracheent scheid vom 3. Februar 2006 ein Rentenanspruch verneint worden sei. Hingegen sei ihm mit Verfügung vom 15. Februar 2006 eine Kostengutsprache für eine berufsbegleitende Umschulung zum technischen Kaufmann, welche vom 1. April 2006 bis zum 31. März 2009 gedauert habe, erteilt worden. Zwischen zeitlich habe er eine neue Arbeitsstelle bei der Z.___ gefunden, die er per 1. März 2006 angetreten habe. Im Rahmen dieser Anstellung sei er bei der Beklagten vorsorgeversichert gewesen. Ab 1. November 2010 sei er infolge chronischer Darmentzündungen, welche bereits 2004 erstmals aufgetreten seien, (zunächst) zu 50 % arbeitsunfähig geworden. Deshalb habe er sich am 19. Juni 2012 erneut zum Leistungsbezug bei der In validenversicherung angemeldet. Schliesslich seien ihm mit Verfügungen vom 1. Februar 2013 eine halbe Rente für den Monat Januar 2012 und mit Wirkung ab 1. Februar 2012 eine ganze Rente der Eidgenössischen Invalidenversicherung zugesprochen worden. Es werde nicht bestritten, dass er anlässlich seiner An meldung bei der Beklagten am 21. Dezember 2005 die Frage, ob er einen Antrag für einen Leistungsbezug bei der Sozialversicherung gestellt habe, unzutreffend beantwortet habe. Es sei ihm nicht bewusst gewesen, dass die damals laufende Umschulung auch einen „Leistungsbezug“ bei einer Sozialversicherung dar stelle. Als mildernder Umstand müsse gelten, dass ein Laie beim Wort „ Leis tungsbezug “ in erster Linie an eine Invalidenrente denke und nicht an eine Umschulung. Entscheidend sei aber, dass die erste Anmeldung vom 25. September 2002 mit derjenigen vom 13. Juni 2011 in keinem Zusammen hang stehe. Beim ersten Verfahren sei es um die Folgen eines Zeckenbisses ge gangen, beim zweiten, das zur Invalidisierung geführt habe, sei es hingegen um eine schwere Darmerkrankung gegangen. Es handle sich um einen gänzlich an deren Gesundheitsschaden. Mithin bestehe zwischen der irrtümlich falsch de klarierten Gefahrstatsache (laufende IV-Umschulung) und dem Eintritt des Schadens (Invalidität) nicht der geringste Zusammenhang. Das ab Januar 2005 gültig gewesene Reglement der Beklagten habe kein e ausdrückliche Regelung der Anzeigepflichtverletzung enthalten, weshalb Art. 6 Abs. 3 VVG in der seit dem 1. Januar 2006 in Kraft stehenden Fassung zur Anwendung komme. Diese Bestimmung mache die Zulässigkeit einer Leistungsverweigerung zufolge An zeigepflichtverletzung für einen bereits eingetretenen Schaden davon abhängig, dass der Eintritt oder Umfang des Schadens durch die unrichtig angezeigte er hebliche Gefahrstatsache beeinflusst worden sei. Das sei vorliegend nicht gege ben. Also sei nach dem Reglement 2005 sowie nach der gesetzlichen Bestim mung von Art. 6 Abs. 3 VVG eine Verweigerung der überobligatorischen Leis tungen nicht zulässig. Das ab 1. Januar 2006 neu in Kraft getretene Reglement sei – entgegen den Ausführungen der Beklagten – nicht anwendbar, denn es widerspreche der (relativ) zwingenden Bestimmung von Art. 6 Abs. 3 VVG. Das sei nicht zulässig. Zudem würden mit der entsprechenden Reglementsbestim mung , wonach es auf einen Kausalzusammenhang nicht ankomme, auch die verfassungsmässigen Prinzipien der Gleichbehandlung, der Verhältnismässig keit, des Gebots des Handelns nach Treu und Glauben und des Willkürverbots missachtet, weshalb auch Art. 49 BVG verletzt werde. Zudem sei auch Art. 8 des Bundesgesetzes gegen den unlauteren Wettbewerb (UWG) tangiert, da die Re gelung unklar und unbillig und somit unlauter sei. Aus dem Gesagten folge, dass die Beklagte dem Kläger auch überobligatorische Leistungen zu erbringen habe (Urk. 1 und 12).</w:t>
      </w:r>
    </w:p>
    <w:p>
      <w:r>
        <w:rPr>
          <w:b/>
        </w:rPr>
        <w:t>E. 2.2</w:t>
      </w:r>
    </w:p>
    <w:p>
      <w:r>
        <w:t>Demgegenüber stellte sich die Beklagte im Wesentlichen auf den Standpunkt, dass sich die Verletzung der Anzeigepflicht und deren Folgen im Bereich der weitergehenden beruflichen Vorsorge nach den statutarischen und/oder regle mentarischen Bestimmungen der Vorsorgeeinrichtung richteten. Fehlten hinge gen entsprechende Bestimmungen , kämen s ubsidiär und analogieweise Art. 4 ff. VVG zur Anwendung. In zeitlicher Hinsicht seien grundsätzlich diejenigen Rechtssätze massgeblich, die bei der Erfüllung des zu Rechtsfolgen führenden Tatbestandes Geltung hätten . Massgebend sei die Rechtslage, welche Geltung gehabt habe, als die versicherte Person in die überobligatorische Vorsorge auf genommen worden sei. Im vorliegenden Fall habe der Kläger mit dem am 21. Dezember 2005 unterschriebenen Anmeldeformular die Aufnahme in die Berufsvorsorgeversicherung per 1. März 2006 beantragt. Demzufolge sei das ab 1. Januar 2006 gültige Reglement anwendbar. Dieses enthalte in Ziff. 3.3 die Bestimmung, dass die Beklagte bei einer Anzeigepflichtverletzung innert sechs Monaten seit Kenntnis vom Vertrag der überobligatorischen Vorsorge zurück treten und jegliche Leistung daraus verweigern könne, und zwar unabhängig davon, ob die verschwiegene Gefahrstatsache oder der verschwiegene indizie rende Umstand im Zusammenhang mit dem Eintritt des versicherten Risikos stehe. Was der Kläger vorbringe, vermöge die Anwendbarkeit dieser reglemen tarischen Regelung nicht zu verhindern. Wäre der Kläger seiner Anzeigepflicht nachgekommen, hätte die Beklagte sämtliche im invalidenversicherungsrechtli chen Verfahren gewonnenen Erkenntnisse (so etwa auch die medizinischen Ak ten zur bereits 2004 erstmals aufgetretenen und später invalidisierenden Darm krankheit) in ihre Risikoabschätzung einbeziehen können. Auch für den (nur eventualiter zu vertretenden) Fall, dass der intertemporalrechtlich massgebende Zeitpunkt, das Datum der Falschdeklaration (21. Dezember 2005) sein sollte, ergäbe sich kein anderes Ergebnis: Im seinerzeit gültig gewesenen Reglement habe es an einer Regelung der Anzeigepflichtverletzung gefehlt. Demzufolge wären dann die bis Ende 2005 gültig gewesenen Bestimmungen des VVG an wendbar gewesen, die bei einer Anzeigepflichtverletzung inhaltlich dieselben Regelungen vorgesehen hätten wie sie nunmehr im seit Januar 2006 gültigen Reglement niedergelegt seien. Soweit der Kläger Einwendungen gegen die Gül tigkeit der neuen Reglementsbestimmungen erhebe, sei sein Vortrag nicht stich haltig. Im Übrigen sei durch die Akten der Invalidenversicherung erstellt, dass sich die einer Borreliose zugeschriebenen Symptome durchaus mit dem Be schwerdebild einer colitis</w:t>
      </w:r>
    </w:p>
    <w:p>
      <w:r>
        <w:t>ulcerosa deckten, so dass zwischen der verschwiege nen Gefahrstatsache und dem verwirklichten Risiko durchaus ein Kausalzu sammenhang bestehe. Allerdings könne dies vorliegend offenbleiben, da das anwendbare Reglement bei Verletzung der Anzeigepflicht eine Leistungsverwei gerung im überobligatorischen Bereich auch ohne solchen Zusammenhang vorsehe (Urk. 8, 17 und 25).</w:t>
      </w:r>
    </w:p>
    <w:p>
      <w:r>
        <w:rPr>
          <w:b/>
        </w:rPr>
        <w:t>E. 2.3</w:t>
      </w:r>
    </w:p>
    <w:p>
      <w:r>
        <w:t>Es ist unbestritten, dass der Kläger gegenüber der Beklagten grundsätzlich An spruch auf eine Invalidenrente im Rahmen der obligatorischen beruflichen Vorsorge hat. Die Beklagte richtet dem Kläger denn auch ab 1. November 2012 eine auf einem Invaliditätsgrad von 100 % basierende Invalidenrente der obli gatorischen beruflichen Vorsorge in der Höhe von jährlich Fr. 10'322. aus (Urk. 2/17).</w:t>
      </w:r>
    </w:p>
    <w:p>
      <w:r>
        <w:t>Strittig und zu prüfen ist dagegen der Anspruch des Klägers auf eine Invaliden rente aus der überobligatorischen beruflichen Vorsorge.</w:t>
      </w:r>
    </w:p>
    <w:p>
      <w:r>
        <w:rPr>
          <w:b/>
        </w:rPr>
        <w:t>E. 3</w:t>
      </w:r>
    </w:p>
    <w:p>
      <w:r>
        <w:t>Aus dem Gesagten folgt, dass sich die Beklagte infolge der klaren Anzeigepflicht verletzung zu Recht weigert, dem Kläger überobligatorische Leistungen auszurichten. Die Klage erweist sich somit als unbegründet und ist abzuweisen.</w:t>
      </w:r>
    </w:p>
    <w:p>
      <w:r>
        <w:rPr>
          <w:b/>
        </w:rPr>
        <w:t>E. 3.1</w:t>
      </w:r>
    </w:p>
    <w:p>
      <w:r>
        <w:t>Zunächst ist die zwischen den Parteien umstrittene Frage zu klären, welche ver traglichen und/oder gesetzlichen Normen in zeitlicher Hinsicht zur Anwendung kommen. Dabei ist zu berücksichtigen, dass die zu beurteilende Anzeige bezie hungsweise Aussage des Klägers in der Anmeldung vom 21. Dezember 2005 datiert, das Versicherungs- beziehungsweise Vorsorgeverhältnis (gleichzeitig mit dem Arbeitsverhältnis) aber erst am 1. März 2006 begann (Urk. 9/1). Das ist vorliegend insofern von Belang, da per 1. Januar 2006 nicht nur eine Neufas sung des beklagtischen Reglements gültig wurde, sondern auch die Novelle des VVG in Kraft trat. Sowohl die reglementarische als auch die gesetzliche Neure gelung berührten insbesondere auch die hier relevanten Themenkreise Anzeige pflichtverletzung und deren Folgen.</w:t>
      </w:r>
    </w:p>
    <w:p>
      <w:r>
        <w:t>In BGE 130 V 9 E. 2.1 führte das Eidgenössische Versicherungsgericht in Fortfüh rung und Bestätigung seiner Rechtsprechung aus, dass der Rücktritt der Vorsorgeeinrichtung vom Vorsorgevertrag bei einer Anzeigepflichtverletzung auf den Zeitpunkt zurückwirke, in welchem die Aufnahme in die überobligato rische berufliche Vorsorge erfolgt sei. Die Zulässigkeit des Vertragsrücktritts be urteile sich nach der Rechtslage, die in jenem Zeitpunkt Geltung gehabt habe. Das Bundesgericht hielt in seinem Urteil 9C_1003/2009 vom 27. April 2010 an dieser Rechtsprechung fest: Für die Zulässigkeit des Vertragsrücktritts und des sen Modalitäten sei die Rechtslage massgebend, welche Geltung hatte, als die versicherte Person in die überobligatorische Vorsorge aufgenommen wurde (E. 4.2).</w:t>
      </w:r>
    </w:p>
    <w:p>
      <w:r>
        <w:t>Der Kläger wurde - wie ausgeführt - per 1. März 2006 in die überobligatorische Vorsorge der Beklagten aufgenommen (vgl. Urk. 9/1). Somit kommen nachfol gend die am 1. März 2006 gültigen (beziehungsweise gültig gewesenen) Be stimmungen zur Anwendung. Dies gilt sowohl in Bezug auf reglementarische als auch gesetzliche Normen.</w:t>
      </w:r>
    </w:p>
    <w:p>
      <w:r>
        <w:rPr>
          <w:b/>
        </w:rPr>
        <w:t>E. 3.2.1</w:t>
      </w:r>
    </w:p>
    <w:p>
      <w:r>
        <w:t>Das ab 1. Januar 2006 gültige Vorsorgereglement der Beklagten (Urk. 9/2) regelt die Anzeigepflicht beziehungsweise die Folgen ihrer Verletzung in Abs. 2 von Ziff. 3.3 (in zwei Unterabsätzen). Diese Bestimmung lautet folgendermassen: Die versicherte Person ist verpflichtet, die im Aufnahmeformular enthaltenen Fragen vollständig und wahrheitsgetreu zu beantwor ten. Wenn die versicherte Person die Fragen falsch beantwortet oder Gefahrstatsachen oder indizierende Umstände, die sie kannte oder kennen musste, verschweigt, so ist die Stiftung befugt, innert sechs Monaten seit Kenntnis vom V ertrag der überobligatorischen Vor sorge zurückzutreten und jegliche Leistungen daraus zu verweigern und zwar unabhängig davon, ob die verschwiegene Gefahrstatsache oder der verschwiegene indizierende Umstand im Zusammenhang mit dem Eintritt des versicherten Risikos steht.</w:t>
      </w:r>
    </w:p>
    <w:p>
      <w:r>
        <w:rPr>
          <w:b/>
        </w:rPr>
        <w:t>E. 3.2.2</w:t>
      </w:r>
    </w:p>
    <w:p>
      <w:r>
        <w:t>Aufgrund der insoweit übereinstimmenden Parteivorbringen und der Aktenlage steht fest, dass die Erklärung des Klägers vom 21. Dezember 2005 (Urk. 9/1), in der er verneint hatte, sich bei einer Sozialversicherung (insbesondere auch der Invalidenversicherung) zum Leistungsbezug angemeldet zu haben beziehungs weise einen entsprechenden Entscheid zu besitzen, objektiv betrachtet nicht der Wahrheit entsprach. Der Kläger hatte sich zum damaligen Zeitpunkt nicht nur bereits mehrfach bei der Invalidenversicherung zum Leistungsbezug angemeldet und verschiedene Verfügungen erhalten; es war zum damaligen Zeitpunkt sogar noch ein invalidenversicherungsrechtliches Einspracheverfahren betreffend Rente pendent (vgl. Urk. 2/7). Hängig war zudem noch das Verfahren betreffend berufliche Massnahmen, welches zur leistungszusprechenden Verfügung vom 15. Februar 2006 (Urk. 2/8) führte.</w:t>
      </w:r>
    </w:p>
    <w:p>
      <w:r>
        <w:t>Es steht somit fest, dass der Kläger, indem er seine Anmeldung bei der Invaliden versicherung sowie den Besitz verschiedener „Entscheide“ verschwieg , eine offensichtliche und klare Anzeigepflichtverletzung im Sinne der in E. 3.2.1 zitierten Reglementsbestimmung</w:t>
      </w:r>
    </w:p>
    <w:p>
      <w:r>
        <w:t>begangen hat. Soweit er im vorliegenden Ver fahren „mildernde Umstände“ geltend machen liess, weil er damals ja immerhin keine Rentenleistungen der Invalidenversicherung bezogen und er offenbar al lein Rentenleistungen unter „Leistungsbezug“ subsumiert habe, ist ihm entge genzuhalten, dass sein Vortrag aufgrund der vorliegenden Konstellation wenig glaubhaft erscheint. Die gestellte Frage ist klar und deutlich. Der Kläger hatte sich bereits mehrfach zum Leistungsbezug angemeldet. Er hatte bereits diverse Verfügungen (Entscheide) in seinem Besitz. Hinzu kommt, dass der Kläger sehr wohl ein Rentenbegehren gestellt hatte und dieses im Zeitpunkt der Anzeige pflichtverletzung im Rahmen des von ihm initiierten Einspracheverfahrens pen dent war (Urk. 2/7). Selbst wenn der Kläger tatsächlich gutgläubig gewesen wäre (was allerdings nahezu ausgeschlossen erscheint), stünde seiner Berufung auf den guten Glauben Art. 3 Abs. 2 des Zivilgesetzbuches (ZGB) entgegen. Da nach ist es demjenigen, der bei der Aufmerksamkeit, wie sie nach den Umstän den von ihm verlangt werden darf, nicht gutgläubig sein konnte , verwehrt , sich auf den guten Glauben zu berufen.</w:t>
      </w:r>
    </w:p>
    <w:p>
      <w:r>
        <w:rPr>
          <w:b/>
        </w:rPr>
        <w:t>E. 4</w:t>
      </w:r>
    </w:p>
    <w:p>
      <w:r>
        <w:t>Zustellung gegen Empfangsschein an: - Fürsprecher Matthias Frey - Sammelstiftung BVG der Allianz Suisse Lebensversicherungs-Gesellschaft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