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BV.2013.00073 vom 30. Juni 2014</w:t>
      </w:r>
    </w:p>
    <w:p>
      <w:r>
        <w:t>ZH Sozialversicherungsgericht, 2014-06-30, DE</w:t>
      </w:r>
    </w:p>
    <w:p>
      <w:r>
        <w:rPr>
          <w:b/>
        </w:rPr>
        <w:t xml:space="preserve">Quelle: </w:t>
      </w:r>
      <w:r>
        <w:t>https://mcp.opencaselaw.ch/entscheid/zh_sozialversicherungsgericht_BV.2013.00073</w:t>
      </w:r>
    </w:p>
    <w:p>
      <w:r>
        <w:t>FR: ZH_SOZIALVERSICHERUNGSGERICHT BV.2013.00073 du 30 juin 2014</w:t>
      </w:r>
    </w:p>
    <w:p>
      <w:r>
        <w:t>IT: ZH_SOZIALVERSICHERUNGSGERICHT BV.2013.00073 del 30 giugno 2014</w:t>
      </w:r>
    </w:p>
    <w:p>
      <w:pPr>
        <w:pStyle w:val="Heading2"/>
      </w:pPr>
      <w:r>
        <w:t>Erwägungen</w:t>
      </w:r>
    </w:p>
    <w:p>
      <w:r>
        <w:rPr>
          <w:b/>
        </w:rPr>
        <w:t>E. 1</w:t>
      </w:r>
    </w:p>
    <w:p>
      <w:r>
        <w:t>Die IV-Stelle Zug sprach dem 1966 ( Urk. 12/1) geborenen X.___ mit Wirkung ab 1. September 2009 eine ganze Rente der Invalidenversicherung zu ( Urk. 2/3a-f). Gestützt darauf bejahte die Stiftung Auffangeinrichtung BVG mit Schreiben vom 31. Januar 2013 ihre i m Rahmen von Art. 26 Abs.</w:t>
      </w:r>
    </w:p>
    <w:p>
      <w:r>
        <w:rPr>
          <w:b/>
        </w:rPr>
        <w:t>E. 1.1</w:t>
      </w:r>
    </w:p>
    <w:p>
      <w:r>
        <w:t>Die von Amtes wegen zu prüfende Frage, ob eine Partei als Klägerin aufzutreten berechtigt (Aktivlegitimation) und welche Partei einzuklagen ist (Passivlegiti mation), bestimmt sich - auch im öffentlich-rechtlichen Klageverfahren - nach dem materiellen Recht. Grundsätzlich ist der Träger des fraglichen Rechts ak tivlegitimiert, passivlegitimiert der materiell Verpflichtete, g egen den sich das Recht richtet . Aktiv- und Passivlegitimation sind folglich nicht Bedingungen im Sinne von Prozessvoraussetzungen, von denen die Zulässigkeit der Klage ab hängen würde; sie gehören vielmehr zur materiellen Begründetheit des Klage begehrens, weshalb ihr Fehlen zur Abweisung und nicht zur Zurückweisun g der - beziehungsweise zum Nichteintreten auf die - Klage führt ( Urteil des Bundes gerichts 9C_40/2009 vom 27. Januar 2010 E. 3.2.1 mit weiteren Hinweisen ).</w:t>
      </w:r>
    </w:p>
    <w:p>
      <w:r>
        <w:rPr>
          <w:b/>
        </w:rPr>
        <w:t>E. 1.2</w:t>
      </w:r>
    </w:p>
    <w:p>
      <w:r>
        <w:t>Gemäss Art. 26 Abs.</w:t>
      </w:r>
    </w:p>
    <w:p>
      <w:r>
        <w:rPr>
          <w:b/>
        </w:rPr>
        <w:t>E. 1.3</w:t>
      </w:r>
    </w:p>
    <w:p>
      <w:r>
        <w:t>Die Vorsorgeeinrichtung, welche Vorleistungen erbracht hat, hat in diesem Um fang von Gesetzes wegen einen unmittelbaren Regressanspruch gegen die leis tungspflichtige Vorsorgeeinrichtung. Es ist somit nicht erforderlich, dass sich die vorleistungspflichtige Vorsorgeeinrichtung die Ansprüche des Versicherten gegen die leistungspflichtige Vorsorgeeinrichtung abtreten lässt. Ebenso wenig besteht ein Grund, den Versicherten zu verpflichten, selber gegen die andere Einrichtung Klage zu erheben (BGE 136 V 131 E. 3.6).</w:t>
      </w:r>
    </w:p>
    <w:p>
      <w:r>
        <w:t>2. 2.1</w:t>
      </w:r>
    </w:p>
    <w:p>
      <w:r>
        <w:t>Das hiesige Gericht ist im Klageverfahren, wie es auf Streitigkeiten aus der berufli chen Vorsorge Anwendung findet, an die Begehren der Parteien gebun den ( § 25 Abs. 1 des Gesetzes über das Sozialversicherungsgericht [GSVGer]; vgl. Volz, in: Zünd/Pfiffner Rauber [Hrsg.], Kommentar zum Gesetz über das Sozialversicherungsgericht des Kantons Zürich, 2. A uflage, Zürich 2009, § 13</w:t>
      </w:r>
    </w:p>
    <w:p>
      <w:r>
        <w:t>N 2). 2.2</w:t>
      </w:r>
    </w:p>
    <w:p>
      <w:r>
        <w:t>Die Klägerin bestreitet ihre Vorleistungspflicht weder im Grundsatz noch betrags mässig . Sie verlangt in ihrem Rechtsbegehren einzig die Verurteilung der Beklagten zur Auszahlung einer ganzen Invalidenrente an ihren ehemaligen Versicherten ( Urk. 1 S. 2) . Ihren Regressansp ruch macht sie damit aber nicht geltend und d er von der Klägerin angehobene Rechtsstreit b etrifft allein den Leistungsanspruch von X.___ , dem keine Parteistellung zukommt und der durch die Vorleistung der Klägerin bereits befriedigt ist . Das einge klagte Rentenbetreffnis beschlägt</w:t>
      </w:r>
    </w:p>
    <w:p>
      <w:r>
        <w:t>daher das gesetzlich und reglementarisch ge regelte Rechtsverhältnis zwischen der potentiell leistungspflichtigen</w:t>
      </w:r>
    </w:p>
    <w:p>
      <w:r>
        <w:t>beklagt i schen Vorsorgeeinrichtung und dem vormals Versicherten, nicht aber dasjenige zwischen der Klägerin und der Beklagten . U ngeachtet des Umstands, dass in ei nem</w:t>
      </w:r>
    </w:p>
    <w:p>
      <w:r>
        <w:t>Regressverfahren</w:t>
      </w:r>
    </w:p>
    <w:p>
      <w:r>
        <w:t>in einem ersten Schritt festgestellt werden müsste, wel ches die leistungspflichtige Vorsorgeeinrichtung ist und erst wenn dies feststeht, in einem zweiten Schritt die vorleistungspflichtige Vorsorgeeinrichtung gegen die andere (allenfalls) Rückgriff nehmen könnte ( Urk. 17 S . 4), ist die Klägerin somit nicht Trägerin des fraglichen Rechts, zumal Regelungsgegenstand zwi schen ihr und der beklagten Einrichtung der Regressanspruch ist (vgl. E.</w:t>
      </w:r>
    </w:p>
    <w:p>
      <w:r>
        <w:t>1.2-3 hievor).</w:t>
      </w:r>
    </w:p>
    <w:p>
      <w:r>
        <w:t>Nach dem Gesagten ist die Aktivlegitimation der Klägerin im vorliegenden Klage verfahren zu verneinen, was zur Abweisung der Klage führt. 3.</w:t>
      </w:r>
    </w:p>
    <w:p>
      <w:r>
        <w:t>Art. 73 Abs. 2 BVG schliesst einen Anspruch der obsiegenden Versicherungsträge rin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Bundesgesetzes über die Organisation der Bundesrechtspflege (Bundesrechts pflegegesetz/OG) praxisgemäss keine Parteientschädigungen zugesprochen. Es besteht kein Grund, bei der Beklagten – trotz ihres Antrags – anders zu verfah ren (vgl. BGE 128 V 124 E. 5b, 126 V 143 E. 4a, 118 V 158 E. 7 und 117 V 349 E. 8, je mit Hinweisen) .</w:t>
      </w:r>
    </w:p>
    <w:p>
      <w:r>
        <w:t>Der Klägerin steht eine Prozessentschädigung ausgangsgemäss nicht zu. Das Gericht erkennt: 1.</w:t>
      </w:r>
    </w:p>
    <w:p>
      <w:r>
        <w:t>Die Klage wird abgewiesen. 2.</w:t>
      </w:r>
    </w:p>
    <w:p>
      <w:r>
        <w:t>Das Verfahren ist kostenlos. 3.</w:t>
      </w:r>
    </w:p>
    <w:p>
      <w:r>
        <w:t>Es werden keine Prozessentschädigungen zugesprochen.</w:t>
      </w:r>
    </w:p>
    <w:p>
      <w:r>
        <w:rPr>
          <w:b/>
        </w:rPr>
        <w:t>E. 4</w:t>
      </w:r>
    </w:p>
    <w:p>
      <w:r>
        <w:t>.</w:t>
      </w:r>
    </w:p>
    <w:p>
      <w:r>
        <w:t>Zustellung gegen Empfangsschein an: - Advokatin Gertrud Baud - BVG-Sammelstiftung Swiss Life - Bundesamt für Sozialversicherungen - X.___ unter Beilage je einer Kopie der Urk. 1 (Klageschrift), Urk.</w:t>
      </w:r>
    </w:p>
    <w:p>
      <w:r>
        <w:rPr>
          <w:b/>
        </w:rPr>
        <w:t>E. 7</w:t>
      </w:r>
    </w:p>
    <w:p>
      <w:r>
        <w:t>(Kla geantwort), Urk. 17 (Replik) und Urk.</w:t>
      </w:r>
    </w:p>
    <w:p>
      <w:r>
        <w:t>22 (Duplik)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