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BV.2013.00062 vom 24. April 2015</w:t>
      </w:r>
    </w:p>
    <w:p>
      <w:r>
        <w:t>ZH Sozialversicherungsgericht, 2015-04-24, DE</w:t>
      </w:r>
    </w:p>
    <w:p>
      <w:r>
        <w:rPr>
          <w:b/>
        </w:rPr>
        <w:t xml:space="preserve">Quelle: </w:t>
      </w:r>
      <w:r>
        <w:t>https://mcp.opencaselaw.ch/entscheid/zh_sozialversicherungsgericht_BV.2013.00062</w:t>
      </w:r>
    </w:p>
    <w:p>
      <w:r>
        <w:t>FR: ZH_SOZIALVERSICHERUNGSGERICHT BV.2013.00062 du 24 avril 2015</w:t>
      </w:r>
    </w:p>
    <w:p>
      <w:r>
        <w:t>IT: ZH_SOZIALVERSICHERUNGSGERICHT BV.2013.00062 del 24 aprile 2015</w:t>
      </w:r>
    </w:p>
    <w:p>
      <w:pPr>
        <w:pStyle w:val="Heading2"/>
      </w:pPr>
      <w:r>
        <w:t>Erwägungen</w:t>
      </w:r>
    </w:p>
    <w:p>
      <w:r>
        <w:rPr>
          <w:b/>
        </w:rPr>
        <w:t>E. 1</w:t>
      </w:r>
    </w:p>
    <w:p>
      <w:r>
        <w:t>Mit Urteil des Bezirksgerichts Z.___ vom 21. September 2012 (Urk. 2/1/2) wurde die Ehe von X.___ und Y.___ geschieden. Mit Verfü gung vom 25. Oktober 2012 (Urk. 2/1/1) überwies das Bezirksgericht Z.___ die Sache zwecks Teilung der Austrittsleistungen der beruflichen Vorsorge an das Sozialversicherungsgericht.</w:t>
      </w:r>
    </w:p>
    <w:p>
      <w:r>
        <w:rPr>
          <w:b/>
        </w:rPr>
        <w:t>E. 1.1</w:t>
      </w:r>
    </w:p>
    <w:p>
      <w:r>
        <w:t>Nach Art. 122 Abs. 1 des Zivilgesetzbuches (ZGB) hat jeder Ehegatte Anspruch auf die Hälfte der nach dem Freizügigkeitsgesetz (Bundesgesetz über die Freizü gigkeit in der beruflichen Alters-, Hinterlassenen- und Invalidenvorsorge, FZG) für die Ehedauer zu ermittelnden Austrittsleistung des anderen Ehegatten, wenn ein Ehegatte einer Einrichtung der beruflichen Vorsorge angehört oder beide Ehe gatten einer solchen angehören und bei keinem Ehegatten ein Vorsorgefall ein ge treten ist. Stehen den Ehegatten gegenseitig Ansprüche zu, so ist nur der Diffe renz betrag zu teilen (Art. 122 Abs. 2 ZGB).</w:t>
      </w:r>
    </w:p>
    <w:p>
      <w:r>
        <w:rPr>
          <w:b/>
        </w:rPr>
        <w:t>E. 1.2</w:t>
      </w:r>
    </w:p>
    <w:p>
      <w:r>
        <w:t>Nach Art. 281 Abs. 3 der Zivilprozessordnung (ZPO) überweist das Schei dungs gericht - falls keine Vereinbarung über die Teilung der Austrittsleistungen der beruflichen Vorsorge im Sinne von Art. 280 ZPO zustande kommt bezie hungs weise falls das Scheidungsgericht den zu überweisenden Betrag bei gege benen Vor aussetzungen nicht selbst festlegt (Art. 281 Abs. 1 ZPO) – die Streit sache nach Eintritt der Rechtskraft des Entscheides über das Teilungsverhältnis von Amtes wegen an das gemäss Freizügi gkeitsgesetz zuständige Gericht . Gemäss der ge nannten Bestimmung sind diesem Gericht insbeson dere der Entscheid über das Teilungsverhältnis ( lit . a), das Datum der Ehe schliessung und das Datum der Ehe scheidung ( lit . b), die Einrichtungen der be ruflichen Vorsorge, bei denen die Ehegatten voraussichtlich Guthaben haben ( lit . c), und die Höhe der Guthaben der Ehegatten, die diese Einrichtungen ge meldet haben ( lit . d), mitzuteilen.</w:t>
      </w:r>
    </w:p>
    <w:p>
      <w:r>
        <w:rPr>
          <w:b/>
        </w:rPr>
        <w:t>E. 2.1</w:t>
      </w:r>
    </w:p>
    <w:p>
      <w:r>
        <w:t>Den Akten lassen sich die notwendigen Eckdaten für die Teilung der Austritts leistungen entnehmen: -</w:t>
      </w:r>
    </w:p>
    <w:p>
      <w:r>
        <w:t>Datum der Eheschliessung: 12. November 1985 (Urk. 2/1/1) -</w:t>
      </w:r>
    </w:p>
    <w:p>
      <w:r>
        <w:t>Rechtskraft der Scheidung: 9. Oktober 2012 (Urk. 2/1/1) -</w:t>
      </w:r>
    </w:p>
    <w:p>
      <w:r>
        <w:t>Teilungsverhältnis: 50 : 50 (Urk. 2/1/1-2) - zu teilendes Guthaben von Y.___ : Fr. 20‘446.05 (Urk. 2/7) -</w:t>
      </w:r>
    </w:p>
    <w:p>
      <w:r>
        <w:t>zu teilendes Guthaben von X.___ : Fr. 59‘873.45 (Urk. 2/8)</w:t>
      </w:r>
    </w:p>
    <w:p>
      <w:r>
        <w:t>Die beteiligten Vorsorgeeinrichtungen bestätigten – wie ausgeführt – die Durch führbarkeit der Teilung (Urk. 2/7 und 2/8; vgl. auch Urk. 15 und 17-18). Die gemeldeten Guthaben wurden von keiner Seite in Zweifel gezogen.</w:t>
      </w:r>
    </w:p>
    <w:p>
      <w:r>
        <w:t>Soweit X.___ mit Eingabe vom 3. Februar 2015 (Urk. 12) einwenden liess, dass mit der Teilung der Vorsorgekapitalie n weiter zuzuwarten sei, weil auf grund neuer Befunde Auswirkungen auf seine Arbeits- und Erwerbsunfähigkeit nicht auszuschliessen seien, ist ihm entgegenzuhalten, dass das Bundesgericht seinen Anspruch auf eine Invalidenrente mit Urteil 9C_922/2013 vom 19. Mai 2014 (Urk. 9/27) rechtskräftig verneint hat. Irgendwelche angeblichen neuen bezieh ungs weise von i hm selbst als „neu“ bezeichneten</w:t>
      </w:r>
    </w:p>
    <w:p>
      <w:r>
        <w:t>Gesundheitsbeschwerden, die nach Eintritt der Rechtskraft der Scheidung (9. Oktober 2012) zu neuer Arbeits- oder Erwerbsunfähigkeit geführt haben könnten, sind im vorliegenden Kontext von vornherein i rrelevant (vgl. dazu aus E. 4 des Rückweisungsurteils des Bun des gerichts [Urk. 1]: „…</w:t>
      </w:r>
    </w:p>
    <w:p>
      <w:r>
        <w:t>[D] as Berufsvorsorgegericht [ist] an die im Scheidungs ur teil festgelegte Teilung gebunden und hat diese bloss zu vollzie hen. Das gilt auc h dann, wenn nach dem massgeblichen Zeitpunkt der Rechts kraft des Schei dungsurteils ein Vorsorgefall eintritt.“) .</w:t>
      </w:r>
    </w:p>
    <w:p>
      <w:r>
        <w:t>Es wurden keine weiteren Einwände erhoben. Anzeichen für Berechnungsfehler oder sonstige Unstimmigkeiten sind nicht ersichtlich. Somit ist die Teilung ge stützt auf die genannten Faktoren durchzuführen.</w:t>
      </w:r>
    </w:p>
    <w:p>
      <w:r>
        <w:rPr>
          <w:b/>
        </w:rPr>
        <w:t>E. 2.2</w:t>
      </w:r>
    </w:p>
    <w:p>
      <w:r>
        <w:t>Insgesamt beträgt das zu teilende Guthaben von Y.___ und X.___ Fr. 80‘319.50 (= Fr. 20‘446.05 + Fr. 59‘873.45). Davon steht bei Anwen dung des im bezirksgerichtlichen Scheidungsurteil (Urk. 2/1/2; vgl. auch Urk. 2/1/1) angeordneten Teilungsschlüssels ( 50 : 50) Y.___ und X.___ je die Hälfte zu, mithin Fr. 40‘159.75. Daraus ergibt sich eine Trans fer leistung zu Gunsten von Y.___ und zu Lasten von X.___ in der Höhe von Fr. 19‘713.70 (= Fr. 40‘159.75 . /. Fr. 20‘446.05). Demzu folge ist die Allianz Suisse Lebensversicherungs-Gesellschaft zu verpflichten, den Betrag von Fr. 19‘713.70 zu Lasten von X.___ auf das Konto von Y.___ bei der BVK Personalvorsorge des Kantons Zürich zu überwei sen.</w:t>
      </w:r>
    </w:p>
    <w:p>
      <w:r>
        <w:rPr>
          <w:b/>
        </w:rPr>
        <w:t>E. 2.3</w:t>
      </w:r>
    </w:p>
    <w:p>
      <w:r>
        <w:t>Mit Verfügung vom 8. August 2013 (Urk. 3) wurde das Verf ahren sistiert. Am 29. Januar 2015 wurden die Verfahrensbeteiligten davon in Kenntnis gesetzt, dass das Bundesgericht mit Urteil 9C_922/2013 vom 19. Mai 2014 (Urk. 9/27 ) den</w:t>
      </w:r>
    </w:p>
    <w:p>
      <w:r>
        <w:t>Anspruch von X.___ auf eine Rente der Eidgenössischen Invaliden ver si che rung letztinstanzlich verneint hat (Urk. 10) . Den Parteien wurde Gele genhe it zur Stellungnahme eingeräumt. Diese Eingaben samt Beilagen (Urk. 12-18) wurden den Parteien wechselseitig zur Kenntnisnahme gebracht (Verfügung vom 18. März 2015 [Urk. 19]).</w:t>
      </w:r>
    </w:p>
    <w:p>
      <w:r>
        <w:t>Auf die Ausführungen der Parteien ist, soweit für die Entscheidfindung erfor der lich, in den Erwägungen einzugehen. Das Gericht zieht in Erwägung: 1.</w:t>
      </w:r>
    </w:p>
    <w:p>
      <w:r>
        <w:rPr>
          <w:b/>
        </w:rPr>
        <w:t>E. 3</w:t>
      </w:r>
    </w:p>
    <w:p>
      <w:r>
        <w:t>Zustellung gegen Empfangsschein an: - Rechtsanwalt Thomas Laube - Rechtsanwalt Beat Wieduwilt - BVK Personalvorsorge des Kantons Zürich - Allianz Suisse Lebensversicherungs-Gesellschaft - Bundesamt für Sozialversicherungen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