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BV.2013.00056 vom 28. Februar 2014</w:t>
      </w:r>
    </w:p>
    <w:p>
      <w:r>
        <w:t>ZH Sozialversicherungsgericht, 2014-02-28, DE</w:t>
      </w:r>
    </w:p>
    <w:p>
      <w:r>
        <w:rPr>
          <w:b/>
        </w:rPr>
        <w:t xml:space="preserve">Quelle: </w:t>
      </w:r>
      <w:r>
        <w:t>https://mcp.opencaselaw.ch/entscheid/zh_sozialversicherungsgericht_BV.2013.00056</w:t>
      </w:r>
    </w:p>
    <w:p>
      <w:r>
        <w:t>FR: ZH_SOZIALVERSICHERUNGSGERICHT BV.2013.00056 du 28 février 2014</w:t>
      </w:r>
    </w:p>
    <w:p>
      <w:r>
        <w:t>IT: ZH_SOZIALVERSICHERUNGSGERICHT BV.2013.00056 del 28 febbraio 2014</w:t>
      </w:r>
    </w:p>
    <w:p>
      <w:pPr>
        <w:pStyle w:val="Heading2"/>
      </w:pPr>
      <w:r>
        <w:t>Erwägungen</w:t>
      </w:r>
    </w:p>
    <w:p>
      <w:r>
        <w:rPr>
          <w:b/>
        </w:rPr>
        <w:t>E. 2</w:t>
      </w:r>
    </w:p>
    <w:p>
      <w:r>
        <w:t>des Bundesgesetzes über Schuldbetreibung und Konkurs),</w:t>
      </w:r>
    </w:p>
    <w:p>
      <w:r>
        <w:t>demzufolge die Klage teilweise gutzuheissen und die Beklagte zu verpflichten ist, der Klägerin Fr. 8‘4 93.20 nebst Zins zu 6 % seit 3 1. März 2012 sowie den Betrag von 500.-- nebst Zins von 6 % seit Klageeinreichung (1 1. Juli 2013) zu bezahlen;</w:t>
      </w:r>
    </w:p>
    <w:p>
      <w:r>
        <w:t>in weiterer Erwägung, dass</w:t>
      </w:r>
    </w:p>
    <w:p>
      <w:r>
        <w:t>das unbegründete Erheben eines Rechtsvorschlages gegen offensichtlich zu Recht in Betreibung gesetzte Beitragsforderungen verbunden mit der Säumig keit im nachfolgenden Prozess nach der ständigen Praxis des hiesigen Gerichts als mutwilliges Verhalten im Sinne von § 33 Abs. 2 des Gesetzes über das Sozi alversicherungsgericht ( GSVGer ) zu qualifizieren ist, weshalb der Beklagten die Kosten des vorliegenden Prozesses zu auferlegen sind,</w:t>
      </w:r>
    </w:p>
    <w:p>
      <w:r>
        <w:t>nach § 34 Abs. 2 GSVGer Versicherungsträger in der Regel keinen Anspruch auf Ersatz ihrer Parteikosten haben, vorliegend jedoch das Verhalten der Be klagten als mutwillig zu qualifizieren ist, weshalb sie in Anwendung von § 34 Abs. 1 GSVGer zu verpflichten ist, der Klägerin eine angemessene - zufolge nur teilweisen Obsiegens jedoch reduzierte - Prozessentschädigung zu bezahlen; erkennt die Einzelrichterin: 1.</w:t>
      </w:r>
    </w:p>
    <w:p>
      <w:r>
        <w:t>In teilweiser Gutheissung der Klage wird die Beklagte verpflichtet, der Klägerin Fr.</w:t>
      </w:r>
    </w:p>
    <w:p>
      <w:r>
        <w:t>8‘493.20 nebst Zins zu 6 % seit</w:t>
      </w:r>
    </w:p>
    <w:p>
      <w:r>
        <w:rPr>
          <w:b/>
        </w:rPr>
        <w:t>E. 3</w:t>
      </w:r>
    </w:p>
    <w:p>
      <w:r>
        <w:t>Die Beklagte wird verpflichtet, der Klägerin eine Prozessentschädigung von Fr. 800 .-- (inkl. Barauslagen und MWSt) zu bezahlen.</w:t>
      </w:r>
    </w:p>
    <w:p>
      <w:r>
        <w:rPr>
          <w:b/>
        </w:rPr>
        <w:t>E. 4</w:t>
      </w:r>
    </w:p>
    <w:p>
      <w:r>
        <w:t>Zustellung gegen Empfangsschein an: - Advokat Thomas Käslin - X.___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DaubenmeyerSonderegger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