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BV.2013.00051 vom 31. Oktober 2014</w:t>
      </w:r>
    </w:p>
    <w:p>
      <w:r>
        <w:t>ZH Sozialversicherungsgericht, 2014-10-31, DE</w:t>
      </w:r>
    </w:p>
    <w:p>
      <w:r>
        <w:rPr>
          <w:b/>
        </w:rPr>
        <w:t xml:space="preserve">Quelle: </w:t>
      </w:r>
      <w:r>
        <w:t>https://mcp.opencaselaw.ch/entscheid/zh_sozialversicherungsgericht_BV.2013.00051</w:t>
      </w:r>
    </w:p>
    <w:p>
      <w:r>
        <w:t>FR: ZH_SOZIALVERSICHERUNGSGERICHT BV.2013.00051 du 31 octobre 2014</w:t>
      </w:r>
    </w:p>
    <w:p>
      <w:r>
        <w:t>IT: ZH_SOZIALVERSICHERUNGSGERICHT BV.2013.00051 del 31 ottobre 2014</w:t>
      </w:r>
    </w:p>
    <w:p>
      <w:pPr>
        <w:pStyle w:val="Heading2"/>
      </w:pPr>
      <w:r>
        <w:t>Erwägungen</w:t>
      </w:r>
    </w:p>
    <w:p>
      <w:r>
        <w:rPr>
          <w:b/>
        </w:rPr>
        <w:t>E. 1</w:t>
      </w:r>
    </w:p>
    <w:p>
      <w:r>
        <w:t>X.___ , geboren 1960, war ab 1. April 2004 bei der Z.___ AG als Kadermitarbeiter angestellt</w:t>
      </w:r>
    </w:p>
    <w:p>
      <w:r>
        <w:t>und bei der Stiftung Y.___</w:t>
      </w:r>
    </w:p>
    <w:p>
      <w:r>
        <w:t>(nachfolgend: Stiftung Y.___ ) vorsorgeversichert. Der Geschäftsbereich, für welchen er tätig war, wurde per 30. Juni 2010 ausgeglied ert und in die neu gegründete Gesellschaft A.___ AG (heu te als B.___ AG firmierend) überführt (Urk. 1 S. 3 f.) .</w:t>
      </w:r>
    </w:p>
    <w:p>
      <w:r>
        <w:t>Diese schloss sich zur Durchführung der beruflichen Vorsorge der S tiftung Y.___</w:t>
      </w:r>
    </w:p>
    <w:p>
      <w:r>
        <w:t>an ( Anschlussvertrag vom 15. Juli/18. Au gust 2010, Urk. 10/5) . X.___ blieb daher bis zu seinem Austritt per 31. Mai 2013 bei der Stiftung Y.___ vorsorgeversichert .</w:t>
      </w:r>
    </w:p>
    <w:p>
      <w:r>
        <w:t>Die S tiftung Y.___</w:t>
      </w:r>
    </w:p>
    <w:p>
      <w:r>
        <w:t>erstellte eine Austrittsabrechnung per</w:t>
      </w:r>
    </w:p>
    <w:p>
      <w:r>
        <w:t>31. Mai 2013 (Urk. 2/3) . Mit den darin ermittelten Fre izügigkeitsleistungen konnte sich X.___ nur teilweise einverstanden erklären. Eine Einigung fand in der folgenden Korrespondenz nicht statt.</w:t>
      </w:r>
    </w:p>
    <w:p>
      <w:r>
        <w:rPr>
          <w:b/>
        </w:rPr>
        <w:t>E. 1.1</w:t>
      </w:r>
    </w:p>
    <w:p>
      <w:r>
        <w:t>Bei der</w:t>
      </w:r>
    </w:p>
    <w:p>
      <w:r>
        <w:t>Beklagten handelt es sich um eine patronal finanzierte Vorsorgeeinrich tung , die ausschliesslich Leistungen versi chert, die über dem BVG- Obligatorium und über dem maximalen Grenzlohn des Sicherheitsfonds gemäss Art. 56 Abs.</w:t>
      </w:r>
    </w:p>
    <w:p>
      <w:r>
        <w:rPr>
          <w:b/>
        </w:rPr>
        <w:t>E. 1.2</w:t>
      </w:r>
    </w:p>
    <w:p>
      <w:r>
        <w:t>Im Leistungsprimat versichert die Beklagte gemäss dem Reglement „ Ruhegehalts abkommen “ als Altersleistung ein lebenslängliches Ruhegehalt so wie temporäre Überbrückungsrenten. Ferner sind Invalide n- und Todesfallleis tungen versichert.</w:t>
      </w:r>
    </w:p>
    <w:p>
      <w:r>
        <w:t>Die Berechnung des Ruhegehalts ist in Art. 11 des Vorsorgereglements geregelt. Die Normierung der Überbrückungsleistungen findet sich in Art. 12 des Vorsor gereglements . Laut dieser Bestimmung werden bei Pensionierungen von ruhe gehaltsberechtigten Personen zusätzlich zum Ruhegehalt ab Alter 60 bis zum Zeitpunkt der reglementarischen Pensionierung eine 100%ige maximale einfa che AHV-Überbrückungsrente (bis zum Einsetzen der AHV-Rente), eine 100%ige PK-Ersatzrente (bis zum ordentlichen Pensionsalter der Pensionskasse im Alt er 65, Höhe gemäss Versicherungsausweis ) und die Übernahme der Bei träge an die Basis-Pensionskasse (bis zum ordentlichen Pensionsalter der Pensi onskasse im Alter 65) ausgerichtet.</w:t>
      </w:r>
    </w:p>
    <w:p>
      <w:r>
        <w:t>Seit Oktober 2007 ist dieser Plan geschlossen. Seither werden keine neuen Versi cherten mehr aufgenommen. Für die bereits darin versicherten Personen gilt er aber weiterhin ( Reglement Stiftung Y.___ , Stand 1. Januar 2003, samt Anhänge und Nachträge; nachfolgend: Vorsorgereglement</w:t>
      </w:r>
    </w:p>
    <w:p>
      <w:r>
        <w:t>[ Urk. 2/2 ] Nachtrag Nr. 2 Ziff.</w:t>
      </w:r>
    </w:p>
    <w:p>
      <w:r>
        <w:rPr>
          <w:b/>
        </w:rPr>
        <w:t>E. 1.3</w:t>
      </w:r>
    </w:p>
    <w:p>
      <w:r>
        <w:t>Daneben besteht das Reglement der Kadervorsorge, worin die Altersleistungen nach dem Beitragsprimat versichert werden. Auch dieses Reglement sieht Inva liden- und Todesfallleistungen vor. 2.</w:t>
      </w:r>
    </w:p>
    <w:p>
      <w:r>
        <w:t>Mit der Austrittsabrechnung per 3 1. Mai 2013 ermittelte die Beklagte einen An spruch auf eine Freizügigkeitsleistung von Fr. 34‘761.05 aus dem Beitragspri matplan und Fr. 44‘910.65 (als jährliches Ruhegehalt im Sinne von Art. 11 des Vorsorgereglements) aus dem Leist ungsprimatplan (Urk. 2/3).</w:t>
      </w:r>
    </w:p>
    <w:p>
      <w:r>
        <w:t>Diese Austritts leistungen sind nicht umstritten.</w:t>
      </w:r>
    </w:p>
    <w:p>
      <w:r>
        <w:t>Strittig ist hingegen, ob und inwiefern zusätzlich aus dem Leistungsprimatplan die temporären Leistungen gemäss Art. 12 des Vorso rgereglements geschuldet sind.</w:t>
      </w:r>
    </w:p>
    <w:p>
      <w:r>
        <w:rPr>
          <w:b/>
        </w:rPr>
        <w:t>E. 2</w:t>
      </w:r>
    </w:p>
    <w:p>
      <w:r>
        <w:t>des Bundesgesetzes über die berufliche Alters-, Hinterlassenen- und Invaliden vorsorge (BVG) liegt . Für die Basisvorsorge ist nicht die Beklagte, sondern die Pensionskasse der C.___ zuständig (vgl. Urk. 9 S. 3). Die Be klagte führt einen Vorsorgeplan im Leistungsprimat und einen weiteren im Bei tragsprimat ( vgl. Jahresrechnung der Beklagten 2010/2011 S. 8 Ziff. 31, Urk. 10/3 ).</w:t>
      </w:r>
    </w:p>
    <w:p>
      <w:r>
        <w:rPr>
          <w:b/>
        </w:rPr>
        <w:t>E. 3</w:t>
      </w:r>
    </w:p>
    <w:p>
      <w:r>
        <w:t>FZG hält sodann fest, dass temporäre Leistungen gemäss Art. 17 Abs. 2 FZG bei der Barwertbestim mung weggelassen werden können, wenn sie nicht nach dem Deckungskapital verfahren finanziert sind.</w:t>
      </w:r>
    </w:p>
    <w:p>
      <w:r>
        <w:t>Als temporäre Leistungen im Sinne von Art. 17 Abs. 2 FZG gelten namentlich Ansprüche auf Überbrückungsrenten bis zum Erreichen de r ordentlichen Alters grenze ( lit . c).</w:t>
      </w:r>
    </w:p>
    <w:p>
      <w:r>
        <w:rPr>
          <w:b/>
        </w:rPr>
        <w:t>E. 4.1</w:t>
      </w:r>
    </w:p>
    <w:p>
      <w:r>
        <w:t>Von den temporären Leistungen der Beklagten gemäss Art. 12 des Vorsorgeregle ments fallen die AHV-Überbrückungsrent e und die PK-Überbrü ckungsrente unter Art. 17 Abs. 2 FZG. Gestützt auf Art. 16 Abs. 3 FZG dürfen sie in der Barwertbestimmung weggelassen werden, sofern sie nicht nach dem Deckungskapitalverfahren finanziert wurden.</w:t>
      </w:r>
    </w:p>
    <w:p>
      <w:r>
        <w:t>Die Übernahme der Beiträge an die Basis-Pensionskasse ist zwar ebenfalls tempo rär, hat aber insofern keinen Einfluss auf die gesamte</w:t>
      </w:r>
    </w:p>
    <w:p>
      <w:r>
        <w:t>Freizügigkeitsleis tung , als es sich um eine Beitragszahlung der Beklagten an die Basis-Pens ions kasse handelt, die ihrerseits diese Zahlung bei der von ihr zu ermittelnden</w:t>
      </w:r>
    </w:p>
    <w:p>
      <w:r>
        <w:t>Al tersleistung zu berücksichtigen hat .</w:t>
      </w:r>
    </w:p>
    <w:p>
      <w:r>
        <w:rPr>
          <w:b/>
        </w:rPr>
        <w:t>E. 4.2</w:t>
      </w:r>
    </w:p>
    <w:p>
      <w:r>
        <w:t>Unbestritten ist, dass das von der Stiftung vorgesehene Ruhegehalt (Art. 11 des Vorsorgereglements) im Deckungskapitalverfahren finanziert wird. Uneinig sind sich die Parteien , ob es sich hinsichtlich der temporären Nebenleistungen</w:t>
      </w:r>
    </w:p>
    <w:p>
      <w:r>
        <w:t>(Art. 12 des Vorsorgereglements) gleich verhäl t. Der Kläger bejaht dies . Die Beklagte macht demgegenüber geltend, deren Finanzierung erfolge nach dem Renten wertumlageverfahren .</w:t>
      </w:r>
    </w:p>
    <w:p>
      <w:r>
        <w:rPr>
          <w:b/>
        </w:rPr>
        <w:t>E. 4.3</w:t>
      </w:r>
    </w:p>
    <w:p>
      <w:r>
        <w:t>Zu prüfen ist somit , nach welchem Verfahren die temporären Nebe nleistungen finanziert werden. Zwischen den Parteien ist in diesem Zusammenhang zu nächst strittig, wer die Beweislast hiefür trägt (Urk. 18 S. 4, Urk. 21, Urk. 23) .</w:t>
      </w:r>
    </w:p>
    <w:p>
      <w:r>
        <w:t>Nach Art. 8 des Zivilgesetzbuches (ZGB) hat, wo es das Gesetz nicht anders be stimmt, derjenige das Vorhandensein einer behaupteten Tatsache zu beweisen, der aus ihr Rechte ableitet. Da der Kläger eine zusätzliche Austrittsleistung für die AHV-Überbrückungsrente und weitere temporäre Leistungen ver langt, trägt er die Beweislast. Die Beklagte trifft eine Mitwirkungspflicht ( Bundesgerichts urteil 9C_140/2012 vom 1 2. April 2012 E. 3.2.2.1 ) . In diesem Rahmen hat sie die massgebenden Umstände offenzulegen, da der K läger sich diese nicht ver schaffen kann (vgl. dazu Christoph Hurni , in: Berner Kommentar, 2012, N. 44 zu Art. 55 ZPO ).</w:t>
      </w:r>
    </w:p>
    <w:p>
      <w:r>
        <w:t>Zu beachten ist , dass</w:t>
      </w:r>
    </w:p>
    <w:p>
      <w:r>
        <w:t>der Berufsvorsorgeprozess vom Untersuchungsgrundsatz beherrscht ist (Art. 73 Abs. 2 BVG). Mithin tragen die Parteien in der Regel eine Beweislast nur insofern, als im Falle der Beweislosigkeit der Entscheid zu Un gunsten jener Partei ausfällt, die aus dem unbewiesen gebliebenen Sachverhalt Rechte ableiten w i ll. Die se Beweisregel greift allerdings erst Platz, wenn es sich als unmöglich erweist, im Rahmen des Untersuchungsgrundsatzes aufgrund ei ner Beweiswürdigung einen Sachverhalt zu ermitteln, der zumindest die Wahr scheinlichkeit für sich hat, der Wirklichkeit zu entsprechen (BGE 117 V 264</w:t>
      </w:r>
    </w:p>
    <w:p>
      <w:r>
        <w:t>E. 3b, vgl. auch BGE 139 V 185 E. 5.2).</w:t>
      </w:r>
    </w:p>
    <w:p>
      <w:r>
        <w:rPr>
          <w:b/>
        </w:rPr>
        <w:t>E. 4.4</w:t>
      </w:r>
    </w:p>
    <w:p>
      <w:r>
        <w:t>Die Finanzierung von Vorsorgeleistungen kann entweder nach dem Deckungska pitalverfahren , dem Umlageverfahren, de m Rentenumlageverfahren oder durch eine Kombination dieser Methoden erfolgen (Carl Helbling, Perso nalvorsorge und BVG, 8. Auflage, Bern 2006, S. 403).</w:t>
      </w:r>
    </w:p>
    <w:p>
      <w:r>
        <w:t>Das Deckungs kapitalverfahren wird weder im BVG noch im FZG definiert. Im Allgemeinen wird darunter ein Verfahren verstanden, bei dem die während der Erwerbstätigkeit der versicherten Person einbezahlten Beiträge in Form eines Kapitals geäufnet werden, um dann die ab der Pensionierung ausgerichteten Renten zu finanzieren. D ie laufenden und die künftigen ( anwartschaftlichen ) Renten müssen in diesem Verfahren jederzeit durch ein angespartes Vor sorge kapital gedeckt sein (vgl. BGE 128 II 24 E. 3).</w:t>
      </w:r>
    </w:p>
    <w:p>
      <w:r>
        <w:t>Beim Umlageverfahren wird der jährliche Beitrag periodisch s o festgelegt , dass aus ihm die in der entsprechenden Periode anfallenden Vorsorgeleistungen er bracht werden können . Für den Einzelnen gibt es keinen subjektiven Anspruch auf die eigenen Beiträ ge oder auf ein Kapital ( Carl Helbling, a.a.O., S. 4</w:t>
      </w:r>
    </w:p>
    <w:p>
      <w:r>
        <w:rPr>
          <w:b/>
        </w:rPr>
        <w:t>E. 09</w:t>
      </w:r>
    </w:p>
    <w:p>
      <w:r>
        <w:t>).</w:t>
      </w:r>
    </w:p>
    <w:p>
      <w:r>
        <w:t>Das Rentenumlageverfa hren stellt eine Mischform dar, und zwar in dem Sinne, dass ein Teil des Jahresbeitrages für die Finanzierung der im laufenden Jahr neu entstehenden Renten notwendige Kapital verwendet wird, da die Vorsorgeein richtung das Kapital erst in dem Moment bildet, in dem die Leistung fällig wird. Für die laufenden Renten ist somit stets das volle erforderliche Deckungskapital vorhanden, während für die Aktivversicherten keine umfassenden und plan mässigen Deckungskapitalien gebildet werden (Carl Helbling, a.a.O., S. 410). 5. 5.1</w:t>
      </w:r>
    </w:p>
    <w:p>
      <w:r>
        <w:t>Der Kläger schliesst primär aus dem Vorsorgereglement und dem Umstand , dass die A.___ AG eine Ausfinanzierung leisten musste, auf das Vorliegen des Deckungskapital verfahrens . Dav on abgesehen erachtet er aus formelle n Gründen ein en Abzug der temporären Leistungen bei der</w:t>
      </w:r>
    </w:p>
    <w:p>
      <w:r>
        <w:t>Bar wertbestimmung nicht als statthaft</w:t>
      </w:r>
    </w:p>
    <w:p>
      <w:r>
        <w:t>( Urk. 1 S. 6 ff., Urk.</w:t>
      </w:r>
    </w:p>
    <w:p>
      <w:r>
        <w:rPr>
          <w:b/>
        </w:rPr>
        <w:t>E. 14</w:t>
      </w:r>
    </w:p>
    <w:p>
      <w:r>
        <w:t>S. 8 ), ist nicht einschlägig . Dort ging es nicht um eine Auslegung von Art.</w:t>
      </w:r>
    </w:p>
    <w:p>
      <w:r>
        <w:rPr>
          <w:b/>
        </w:rPr>
        <w:t>E. 16</w:t>
      </w:r>
    </w:p>
    <w:p>
      <w:r>
        <w:t>Abs. 3 FZG bzw. nicht um die Frage, wie die temporären Leistungen von der Berechnung der Austrittsleistungen auszunehmen sind . Zu entscheiden war in jenem Fall, ob es für den Ausschluss einzelner Lohnbestandteile vom versicherten Lohn im Sinne von Art. 3 Abs. 1</w:t>
      </w:r>
    </w:p>
    <w:p>
      <w:r>
        <w:t>lit . a BVV2 genügt, wenn im Reglement die se Formulierung wiederholt wird, was vorliegend nichts zur Sache tut. 6.2</w:t>
      </w:r>
    </w:p>
    <w:p>
      <w:r>
        <w:t>Eventualiter verlangt der Kläger, dass ihm hinsichtlich der temporären Leistun gen der Mindestbeitrag nach Art. 17 FZG zugesprochen wird ( Urk.</w:t>
      </w:r>
    </w:p>
    <w:p>
      <w:r>
        <w:rPr>
          <w:b/>
        </w:rPr>
        <w:t>E. 18</w:t>
      </w:r>
    </w:p>
    <w:p>
      <w:r>
        <w:t>S. 10). Bei der Schaffung von Art. 17 FZG ging es dem Gesetzgeber darum, dass alle Leis tungen in d ie Barwertbestimmung einbezogen werden, für die der Versicherte deckungskapitalbildende Beiträge bezahlt hat. Weil die temporären Nebenleis tungen im konkret en Fall im Rentenumlageverfahren finanziert wurden, kann kein Mindestbetrag nach Art. 17 FZG ermittelt werden. Wollte man dem Even tualantrag des Klägers folgen und ihm die vom Arbeitgeber geleisteten Beiträge zusprechen, würde Art . 16 Abs. 3 FZG seines Sinnes be raubt. 6.3</w:t>
      </w:r>
    </w:p>
    <w:p>
      <w:r>
        <w:t>Zusammenfassend ist somit gestützt auf die versicherungstechnischen Berichte der Beklagten ausge wiesen , dass die temporären Überbrückungsleistungen mit tels Rentenumlageverfahren finanziert werden. Die Beklagte hat sie daher bei der Berechnung der Austrittsleistungen zu Recht nicht berücksichtigt.</w:t>
      </w:r>
    </w:p>
    <w:p>
      <w:r>
        <w:t>Diese Erwägungen führen zur Abweisung der Klage. 7 . 7 .1</w:t>
      </w:r>
    </w:p>
    <w:p>
      <w:r>
        <w:t>Gemäss § 34 Abs. 1 des Gesetzes über das Sozialversicherungsgericht ( GSVGer ) haben die Parteien auf Antrag nach Massgabe ihres Obsiegens Anspruch auf den vom Gericht festzusetzenden Ersatz der Par teikosten. Dieser wird ohne Rücksicht auf den Streitwert nach der Bedeutung der Streitsache und nach der Schwierigkeit de s Prozesses bemessen. Den Versicherungsträgern und den Ge meinwesen steht der Anspruch auf Ersatz der Par teikosten in der Regel nicht zu ( § 34 Abs. 2 GSVGer ). Davon ist nach der Rechtsprechung abzuweichen, wenn das Verhalten der Gegenpartei leichtsinnig oder mutwillig ist (BGE 126 V 150</w:t>
      </w:r>
    </w:p>
    <w:p>
      <w:r>
        <w:t>E. 4b). 7 .2</w:t>
      </w:r>
    </w:p>
    <w:p>
      <w:r>
        <w:t>Im Verfahren der Verwaltungsgerichtsbeschwerde darf obsiegenden Behörden oder mit öffentlichrechtlichen Aufgaben betrauten Organisationen in der Regel keine Parteientschädigung zugesprochen werden. In Anwendung dieser Be -stimmung hat das Eidgenössische Versicherungsgericht der SUVA und den pri-vaten UVG-Versicherern sowie - von Sonderfällen abgesehen - den Kranken-kassen keine Parteientschädigungen zugesprochen, weil sie als Organisationen mit öffentlichrechtlichen Aufgaben zu qualifizieren sind (BGE 112 V 361 E. 6 mit Hinweisen). Das hat grundsätzlich auch für die Trägerinnen oder Versiche-rer der beruflichen Vorsorge gemäss BVG zu gelten (BGE 126 V 105 E. 4a,</w:t>
      </w:r>
    </w:p>
    <w:p>
      <w:r>
        <w:t>118 V 169 E. 7, 117 V 349 E. 8 mit Hinweis).</w:t>
      </w:r>
    </w:p>
    <w:p>
      <w:r>
        <w:t>Vorliegend besteht keine Veranlassung, von diesen Grundsätzen abzuweichen, weshalb der Beklagten keine Prozessentschädigung zuzusprechen ist. Das Gericht erkennt: 1.</w:t>
      </w:r>
    </w:p>
    <w:p>
      <w:r>
        <w:t>Die Klage wird abgewiesen. 2.</w:t>
      </w:r>
    </w:p>
    <w:p>
      <w:r>
        <w:t>Das Verfahren ist kostenlos. 3.</w:t>
      </w:r>
    </w:p>
    <w:p>
      <w:r>
        <w:t>Eine Parteientschädigung wird nicht zugesprochen. 4.</w:t>
      </w:r>
    </w:p>
    <w:p>
      <w:r>
        <w:t>Zustellung gegen Empfangsschein an: - Rechtsanwalt Dr. Kaspar Saner - Rechtsanwältin Marta Mozar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