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BV.2013.00047 vom 12. Mai 2015</w:t>
      </w:r>
    </w:p>
    <w:p>
      <w:r>
        <w:t>ZH Sozialversicherungsgericht, 2015-05-12, DE</w:t>
      </w:r>
    </w:p>
    <w:p>
      <w:r>
        <w:rPr>
          <w:b/>
        </w:rPr>
        <w:t xml:space="preserve">Quelle: </w:t>
      </w:r>
      <w:r>
        <w:t>https://mcp.opencaselaw.ch/entscheid/zh_sozialversicherungsgericht_BV.2013.00047</w:t>
      </w:r>
    </w:p>
    <w:p>
      <w:r>
        <w:t>FR: ZH_SOZIALVERSICHERUNGSGERICHT BV.2013.00047 du 12 mai 2015</w:t>
      </w:r>
    </w:p>
    <w:p>
      <w:r>
        <w:t>IT: ZH_SOZIALVERSICHERUNGSGERICHT BV.2013.00047 del 12 maggio 2015</w:t>
      </w:r>
    </w:p>
    <w:p>
      <w:pPr>
        <w:pStyle w:val="Heading2"/>
      </w:pPr>
      <w:r>
        <w:t>Erwägungen</w:t>
      </w:r>
    </w:p>
    <w:p>
      <w:r>
        <w:rPr>
          <w:b/>
        </w:rPr>
        <w:t>E. 1</w:t>
      </w:r>
    </w:p>
    <w:p>
      <w:r>
        <w:t>X.___ , geboren 1957, war ab 1. November 1991 als Tanz- und Bewe gungs therapeutin bei der Psychiatrie Y.___ angestellt und da durch bei der BVK Personalvorsorge des Kantons Zürich (BVK) berufs vorsorge ver sichert ( Urk. 7/3 ). Der Beschäftigungsgrad betrug zunächst 80,36 % und wurde</w:t>
      </w:r>
    </w:p>
    <w:p>
      <w:r>
        <w:t>per</w:t>
      </w:r>
    </w:p>
    <w:p>
      <w:r>
        <w:t>1. April 2000 auf 60,12 % reduziert ( Urk. 7/3, vgl. auch Urk.</w:t>
      </w:r>
    </w:p>
    <w:p>
      <w:r>
        <w:rPr>
          <w:b/>
        </w:rPr>
        <w:t>E. 1.1</w:t>
      </w:r>
    </w:p>
    <w:p>
      <w:r>
        <w:t>Anspruch auf Invalidenleistungen aus beruflicher Vorsorge haben Personen, die im Sinne der Invalidenversicherung zu mindestens 40 % invalid sind und bei Ein tritt der Arbeitsunfähigkeit, deren Ursache zur Invalidität geführt hat, versi chert waren ( Art. 23 Abs. 1 des Bundesgesetzes über die berufliche Alters-, Hin terlassenen- und Invalidenvorsorge, BVG). Mit Bezug auf die weitergehende be rufliche Vorsorge steht es den Vorsorgeeinrichtungen im Rahmen von Art. 6 und</w:t>
      </w:r>
    </w:p>
    <w:p>
      <w:r>
        <w:t>Art. 49 Abs. 2 BVG sowie der verfassungsmässigen Schranken (wie Rechts gleich heit , Willkürverbot und Verhältnismässigkeit) frei, den Invaliditätsbegriff und/ oder das versicherte Risiko abweichend von Art. 23 BVG zu definieren (SZS 1997 S. 557, B 40/93 E. 4a; BGE 120 V 106 E. 3c S. 108 f. mit Hinweisen). Während sie im Rahmen der obligatorischen beruflichen Vorsorge jedenfalls die Min dest vorschrift des Art. 23 BVG zu beachten haben ( Art. 6 BVG), gilt diese Bestimm ung einschliesslich der hierzu ergangenen Rechtsprechung im überobli gato ri schen Bereich nur, soweit die Reglemente oder Statuten bezüglich des massge benden Invaliditätsbegriffs oder versicherten Risikos nichts Abweichen des vor sehen (BGE 136 V 65 E. 3.2 S. 69 mit Hinweisen).</w:t>
      </w:r>
    </w:p>
    <w:p>
      <w:r>
        <w:rPr>
          <w:b/>
        </w:rPr>
        <w:t>E. 1.2</w:t>
      </w:r>
    </w:p>
    <w:p>
      <w:r>
        <w:t>Die Statuten der BVK (Statuten der Versicherungskasse für das Staatspersonal, Vorsorgereglement Version 2010) sehen in § 19 eine sogenannte Berufsinvali denrente vor. Darauf Anspruch haben Personen, welche vor Vollendung des 63. Altersjahres wegen Krankheit oder Unfall für die bisherige Berufstätigkeit invalid geworden sind. Sie wird längs tens für zwei Jahre ausgerichtet. Für über 50-jährige Personen entfällt die zweijährige Befristung, die Rente wird jedoch längstens bis zum 63. Altersjahr ausge richtet (Abs. 1). Über das Vo rhandensein und den Grad der Be rufsinvali dität wird aufgrund ei ner Untersuchung durch ei nen Vertrauensarzt der Versicherungskasse entschie den (Abs. 2). Die versi cherte Person oder die vorgesetzte Direktion beziehungsweise der Arbeitgeber kann um die Einholung einer Oberexpertise nachsuchen, wenn sie die Schluss folgerungen des Gutachtens der Vertrauensärztin oder des Vertrauensarztes nicht anerkennt. Die Oberexpertin oder der Oberexperte wird einvernehmlich durch die Antrag stellerin oder den Antragsteller und die Versicherungskasse ernannt. Kommt keine Einigung zustande, obliegt die Ernennung der Präsiden tin oder dem Prä si denten des Sozialversicherungsgerichts. Die Kosten der Ober expertise werden im Verhältnis von Unterliegen und Obsiegen von der Antrag stellerin oder vom An tragsteller und von der Versicherungskasse getragen (Abs. 3).</w:t>
      </w:r>
    </w:p>
    <w:p>
      <w:r>
        <w:t>Die Berufsinvalidenrente beträgt bei voller Invalidität 60 % des letzten versi cher ten Lohnes. Bei teilweiser Berufsinvalidität wird die Rente entsprechend dem Invaliditätsgrad festgesetzt ( § 20 Abs. 1 und 2 der BVK-Statuten). Dauer hafte und wesentliche Änderun gen des Grades der Berufsinvalidität führen zu einer An pass ung der Invalidenrente, Dauerhaft ist eine Änderung, wenn sie voraussicht lich mehr als ein Jahr besteht, wesentlich, wenn sie mehr als 10 % eines vollen Pensums ausmacht ( § 20 Abs. 5 BVK-Statuten).</w:t>
      </w:r>
    </w:p>
    <w:p>
      <w:r>
        <w:t>N ach dem Auslaufen der Rente wegen Berufsinvalidität haben versicherte Perso nen gemäss § 21 der BVK-Statuten Anspruch auf eine Rente, wenn volle oder teilweise Erwerbsinvalidität besteht (Abs. 1). Eine versicherte Person gilt als er werbsinvalid , wenn sie infolge Krankheit oder Unfall ihre bisherige oder eine andere, ihrem Wissen und Können entsprechende und zumutbare Er werbstätig keit nicht mehr ausüben kann, oder wenn sie aufgrund eines Ent scheides der eidgenössischen IV-Kommission invalid erklärt wurde (Abs. 2). Das Verfahren für die Bestimmung des Anspruches und des Invaliditätsgrades wird gleich durch geführt wie bei der Berufsinvalidität (Abs. 3). Die Renten wegen Erwerbsinva li di tät werden längstens bis zum vollendeten 63. Altersjahr ausge richtet (Abs. 4).</w:t>
      </w:r>
    </w:p>
    <w:p>
      <w:r>
        <w:t>Gemäss § 22 Abs. 2 der BVK-Statuten wird bei teilweiser Erwerbsinvalidität die Rente entsprechend dem Invaliditätsgrad wie folgt festgesetzt: bis 24 % Er werbsunfähigkeit keine Rente, von 25 bis 59 % eine Rente gemäss IV-Grad, bei 60 bis 69 % eine Dreiviertelrente und bei 70 % und mehr eine ganze Rente.</w:t>
      </w:r>
    </w:p>
    <w:p>
      <w:r>
        <w:rPr>
          <w:b/>
        </w:rPr>
        <w:t>E. 1.3</w:t>
      </w:r>
    </w:p>
    <w:p>
      <w:r>
        <w:t>hie r vor ). Aus den Ausführungen von Dr. A.___ geh t klar und eindeutig hervor, dass davon auszugehen ist, dass bei einer konsequenten psychopharmakologischen Behandlung mit einer Besserung der gesamten Symptomatik und mithin mit einer Steigerung der Arbeitsfähig keit auf 50 % hätte gerechnet werden können. Was die Klägerin dagegen vor bringt, vermag nicht durchzudringen. 4.2 4.2.1</w:t>
      </w:r>
    </w:p>
    <w:p>
      <w:r>
        <w:t>Die Kläge rin bestreitet, dass ihr die Befolgung der auferlegten Massnahme zu mutbar gewesen sei ( Urk. 1 S. 6) . Für die Beantwortung der Frage nach der Zu mutbarkeit der Behandlung oder der Eingliederungsmassnahme sind die ge samten persönlichen Verhältnisse, insbesondere die berufliche und soziale Stel lung des Versicherten, zu berü cksichtigen. Massgebend ist das objektiv Zumut bare, nicht die subjektive Wertung des Versicherten (Urteil des Eidgenössischen Versicherungsgerichts I 105/93 vom 1 1. März 1994, E. 2a; ZAK 1982 S. 495 E. 3; Ulrich Meyer-Blaser, Zum Verhältnismässigkeitsgrundsatz im staatlichen Leis tungs recht , Bern 1985, S. 189). D ie Zumutbarkeit ist in Relation einerseits zur Tragweite der Massnahme, andererseits zur Bedeutung der in Frage stehen den Leistung zu beurteilen . 4.2.2</w:t>
      </w:r>
    </w:p>
    <w:p>
      <w:r>
        <w:t>Die Klägerin ist seit 1. September 2010 wieder arbeitsfähig geschrieben. Diese Bescheinigung gilt auch für Tätigkeiten als Tanz - und Bewegungstherapeutin, sofern damit kein Kontakt mit psychisch kranken Menschen verbunden ist . Die Klägerin hat sich unter anderem denn auch auf entsprechende Stellen beworben ( Urk. 2/6, Urk. 26/3 S.</w:t>
      </w:r>
    </w:p>
    <w:p>
      <w:r>
        <w:t>2 ). Lohnmässig haben sich die Erwerbsmöglichkeiten der Klägerin folglich nicht oder nur geringfügig geändert. Da s ist für den Anspruch auf die zu prüfende (überobligatorische) Berufsinvalidenrente insofern irrele vant, als hierfür die Arbeitsfähigkeit in der bisherigen Tätigkeit massgebend ist. Doch ist diesem Umstand bei der Schadenminderungspflicht Rechnung zu tra gen. Lässt sich mit der psychopharmakologischen Behandlung die (aufgrund der in Frage stehenden Rentenleistungen ) erhebliche Inanspruchnahme der Beklag ten vermeiden, so ist bei der Beurteilung der Zumutbarkeit ein strenger Mass stab anzulegen. 4.2.3</w:t>
      </w:r>
    </w:p>
    <w:p>
      <w:r>
        <w:t>Der behandelnde Psychiater, Dr. med. B.___ , hält eine psychopharmakologische Behandlung wegen der erheblichen gesundheitlichen Risiken für unzumutbar. Die Klägerin habe stets darauf verzichtet, konventionelle Pharmaka einzuneh men. Dies sei aufgrund ihrer eigenen Lebensgeschichte sowie der leidvollen Kranken geschichte der Mutter nachvollziehbar. Wä hrend der ganzen Behand lungszeit habe keine medizinische Indikation bestanden, ihr gegen ihren Willen Psycho pharmaka zu verschreiben. Es sei hinlänglich bekannt, dass eine aufge zwungene Behandlung erfolglos sei und der ärztlichen Ethik widerspreche . Das Brechen von Widerständen sei höchst problematisch und könne zu schwersten psychi schen Dekompensationen führen . Zudem sei die Weigerung der Klägerin auf eine fehlende Krankheitseinsicht zurückzuführen ( Urk. 2/4).</w:t>
      </w:r>
    </w:p>
    <w:p>
      <w:r>
        <w:t>Dazu ist festzuhalten, dass</w:t>
      </w:r>
    </w:p>
    <w:p>
      <w:r>
        <w:t>auch</w:t>
      </w:r>
    </w:p>
    <w:p>
      <w:r>
        <w:t>Dr. A.___ die Abneigung der Klägerin gegen Psychopharmaka psychologisch für verst ändlich hält . Indessen ist nicht ersicht lich und wird von Dr. B.___ auch nicht nachvollziehbar dargelegt, inwie fern du rch die Einnahme von Psychopharmaka der Klägerin eine Ge fahr für Leib und Leben drohen soll .</w:t>
      </w:r>
    </w:p>
    <w:p>
      <w:r>
        <w:t>Aufgrund ihrer Weigerung , die potentiell hilfreichen Medika mente auch nur versuchsweise einzunehmen, kann nicht abschliessend einge schätzt werden, ob und welche Nebenwirkungen sich zeigen würden. Zu dem be stünde dann immer noch die Möglichkeit, die Medikation anzupassen bzw. a ls ultima</w:t>
      </w:r>
    </w:p>
    <w:p>
      <w:r>
        <w:t>ratio abzusetzen .</w:t>
      </w:r>
    </w:p>
    <w:p>
      <w:r>
        <w:t>Zur Frage, ob bei der Klägerin eine Krankheitseinsicht besteht, äusserte sich der Gutachter Dr. A.___ eingehend. Er führte aus , dass die Klägerin zwar Psycho pharmaka ablehne, aber zwischendurch andere Medikamente, auch nicht homö opathische wi e etwa Aspirin , einnehme. Weiter habe sie sich trotz ihren Vorbe halten zweimal psychiatrisch behandeln lassen ( Urk. 7/6 S. 21). Im Rahmen der Exploration hätten sich keine Hinweise auf kognitive Störungen gefunden. Die Klägerin sei in de r Lage gewesen, ihren Willen kl ar und differenziert zu äussern. Sie habe klare Vorstellungen davon, welche Tätigkeiten für sie in Frage kämen und welche nicht. Auch bei der Medikamenteneinnahme zeige sie kein starres, unange passtes Muster, sondern könne differenziere n .</w:t>
      </w:r>
    </w:p>
    <w:p>
      <w:r>
        <w:t>Dr. A.___ ging daher da von aus, dass sich die Klägerin bei voller Urteilsfähigkeit bewusst gegen diese medizinische Massnahme entschied en habe ( Urk. 7/9 S. 13). Diese Begründung überzeugt.</w:t>
      </w:r>
    </w:p>
    <w:p>
      <w:r>
        <w:t>D emgegenüber erscheint die von Dr. B.___ postulierte Urteil sun fähig keit vor dem Hintergrund des differenzierten Verhaltens der Klägerin nicht als plausibel. Folglich ist davon auszugehen, dass sich die Klägerin ganz bewusst unter In kaufnahme allfälliger Nachteile gegen die Behandlung mit Psycho phar maka entschiede n hat.</w:t>
      </w:r>
    </w:p>
    <w:p>
      <w:r>
        <w:t>Zudem geht es zu weit ,</w:t>
      </w:r>
    </w:p>
    <w:p>
      <w:r>
        <w:t>die auferlegte Massnahme einer gegen die ärztliche Ethik verstossende n Zwangsbehandlung gleichzusetzen . Folgte man dieser Ar gumentation, wäre die Auferlegung von Schadenminderungspflichten gar nicht möglich. Eine Zwangsbehandlung liegt vor, wenn die Behandlung gegen den Willen der betroffenen Pe rson, notfalls mit unmittelbarem Zwang, durchgeführt wird. Davon kann vorliegend keine Rede sein, steht es der Klägerin doch frei , ob sie sich der Be handlung unter ziehen will. Trägt sie indessen nicht ihren Anteil zur Vermei dung des Schadens bei, hat sie eine Leistungskürzung resp .</w:t>
      </w:r>
    </w:p>
    <w:p>
      <w:r>
        <w:t>- ein stel l ung</w:t>
      </w:r>
    </w:p>
    <w:p>
      <w:r>
        <w:t>in Kauf zu nehmen .</w:t>
      </w:r>
    </w:p>
    <w:p>
      <w:r>
        <w:t>Die Klägerin geht sodann fehl, wenn sie behauptet, mit der Einnahme von Ho möopathie resp. Phytopha rmaka genüge sie ihrer Schadenmi nderungspflicht ( Urk.</w:t>
      </w:r>
    </w:p>
    <w:p>
      <w:r>
        <w:rPr>
          <w:b/>
        </w:rPr>
        <w:t>E. 6</w:t>
      </w:r>
    </w:p>
    <w:p>
      <w:r>
        <w:t>S. 3). Ab 1 7. September 2009 war die Versicherte arbeitsunfähig geschrieben ( Urk. 7/3).</w:t>
      </w:r>
    </w:p>
    <w:p>
      <w:r>
        <w:t>Die BVK lies s die Versicherte durch Dr. med. Z.___ , Facharzt für Allgemein medizin, abklären. Dieser diagnostizierte eine Angststörung und hielt fest, dass die therapeutischen Möglichkeiten noch nicht ausgeschöpft worden seien, da sich die Versicherte bisher keiner Psychopharmakatherapie unterzogen habe ( Gut achten vom 8. Mai 2010, Urk. 7/4 S.</w:t>
      </w:r>
    </w:p>
    <w:p>
      <w:r>
        <w:rPr>
          <w:b/>
        </w:rPr>
        <w:t>E. 11</w:t>
      </w:r>
    </w:p>
    <w:p>
      <w:r>
        <w:t>S.</w:t>
      </w:r>
    </w:p>
    <w:p>
      <w:r>
        <w:t>7), kann nicht von einem rechtsgenüglichen Antrag auf eine Ober expertise</w:t>
      </w:r>
    </w:p>
    <w:p>
      <w:r>
        <w:t>im Sinne von § 19 Abs. 3 BVK ausgegangen werden. So oder a nders besteht in dessen weder eine Veranlassung für die Einholung eines Gerichts gutachtens noch für die Anordnung einer Oberexpertise im Sinne der BVK-Statuten. Da es sich bei der Frage na ch der Zumutbarkeit der Schadenmin de rungspflicht</w:t>
      </w:r>
    </w:p>
    <w:p>
      <w:r>
        <w:t>um eine juristische Frage handelt, die sich gestützt auf die vor liegende Aktenlage ab schliessend beurteilen lässt, ist die Zulässigkeit der Auf he bung der Rente aus gewiesen. An diesem Ergebnis vermöchten auch weitere Ab klärungen nichts zu ändern ( antizipierte Beweiswürdigung; BGE 136 I 229 E.</w:t>
      </w:r>
    </w:p>
    <w:p>
      <w:r>
        <w:t>5.3 S. 236).</w:t>
      </w:r>
    </w:p>
    <w:p>
      <w:r>
        <w:t>Dies führt zur Abweisung der Klage. Das Gericht erkennt: 1.</w:t>
      </w:r>
    </w:p>
    <w:p>
      <w:r>
        <w:t>Die Klage wird abgewiesen. 2.</w:t>
      </w:r>
    </w:p>
    <w:p>
      <w:r>
        <w:t>Das Verfahren ist kostenlos. 3.</w:t>
      </w:r>
    </w:p>
    <w:p>
      <w:r>
        <w:t>Zustellung gegen Empfangsschein an: - Rechtsanwalt Hans-Peter Sorg - BVK Personalvorsorge des Kantons Zürich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