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BV.2013.00045 vom 13. Dezember 2013</w:t>
      </w:r>
    </w:p>
    <w:p>
      <w:r>
        <w:t>ZH Sozialversicherungsgericht, 2013-12-13, DE</w:t>
      </w:r>
    </w:p>
    <w:p>
      <w:r>
        <w:rPr>
          <w:b/>
        </w:rPr>
        <w:t xml:space="preserve">Quelle: </w:t>
      </w:r>
      <w:r>
        <w:t>https://mcp.opencaselaw.ch/entscheid/zh_sozialversicherungsgericht_BV.2013.00045</w:t>
      </w:r>
    </w:p>
    <w:p>
      <w:r>
        <w:t>FR: ZH_SOZIALVERSICHERUNGSGERICHT BV.2013.00045 du 13 décembre 2013</w:t>
      </w:r>
    </w:p>
    <w:p>
      <w:r>
        <w:t>IT: ZH_SOZIALVERSICHERUNGSGERICHT BV.2013.00045 del 13 dicembre 2013</w:t>
      </w:r>
    </w:p>
    <w:p>
      <w:pPr>
        <w:pStyle w:val="Heading2"/>
      </w:pPr>
      <w:r>
        <w:t>Erwägungen</w:t>
      </w:r>
    </w:p>
    <w:p>
      <w:r>
        <w:rPr>
          <w:b/>
        </w:rPr>
        <w:t>E. 2</w:t>
      </w:r>
    </w:p>
    <w:p>
      <w:r>
        <w:t>.2) , bei dieser Ausgangslage besteht jedoch kein An lass, davon abzuweichen. Festzuh alten ist somit, dass der Beklagte ab Januar 2000 diverse Erwerbstätigkeiten aufnahm und in der Folge kontinuierlich aus baute , es in Verletzung seiner Meldepflicht aber unterliess, die IV-Stelle respek tive die Klägerin zu informieren. Gestützt auf das Gutachten von Dr. Z.___ ist davon auszugehen, dass ab Mitte 2001 eine Arbeitsunfähig keit von höchstens 50 % , ab 2003 von höchstens 30 % und ab 2006 gar keine Arbeitsunfähigkeit mehr vorlag.</w:t>
      </w:r>
    </w:p>
    <w:p>
      <w:r>
        <w:t>I nfolge der Meldepflichtverletzungen und unter Berücksichtigung der attestier ten Arbeitsunfähigkeiten stand dem Beklagten ab 1. Juli 2001 noch eine halbe Rente zu. Ab 1. Januar 2003 entfiel der Rentenanspruch. Im Umfang des dar über hinausgehenden Leistungsbezugs ist der Klägerin ein Schaden erwachsen. 4.2 4.2.1</w:t>
      </w:r>
    </w:p>
    <w:p>
      <w:r>
        <w:t>Die Rückforderung von Fr. 80‘651.40 umfasst den Zeitraum 1. Juli 2001 bis 31. Juli 2008 ( Urk. 1). Anhaltspunkte für R echnungsfehler liegen nicht vor. Dem nach ist auf die klägerische Berechnung abzustellen. Zu prüfen bleibt, ob ein Teil der streitgegenständlichen Forderung verjährt ist. 4.2.2</w:t>
      </w:r>
    </w:p>
    <w:p>
      <w:r>
        <w:t>Die Klägerin machte die Rückforderung erstmals mit vorliegender Klage vom 13. Juni 2013 geltend. Zu laufen begann die einjährige Verjährungsfrist mit Rechtskraft des bezirksgerichtlichen Urtei ls am 7. September 2012 ( Urk. 2/6 ) ,</w:t>
      </w:r>
    </w:p>
    <w:p>
      <w:r>
        <w:t>da die Klägerin erst dann hinreichende Kenntnis vo n ihrem Rückforderungsan spruch hatte .</w:t>
      </w:r>
    </w:p>
    <w:p>
      <w:r>
        <w:t>Sie ist somit eingehalten . 4.2.3</w:t>
      </w:r>
    </w:p>
    <w:p>
      <w:r>
        <w:t>Was die absolute Verjährungsfrist anbelangt gilt, soweit der Rückforderungsan spruch aus strafbaren Handlungen hergeleitet wird, die strafrechtliche (Verfol gungs-)Verjährungsfrist. Diese beträgt im Falle eines Betruges 15 Jahre (Art. 97 Abs. 1 lit. b StGB i.V.m. Art. 146 Abs. 1 StGB).</w:t>
      </w:r>
    </w:p>
    <w:p>
      <w:r>
        <w:t>Das Bezirksgericht hatte nicht eine blosse Meldepflichtverletzung zu prüfen, welche bereits die Rückerstattungspflicht auslöst, sondern das Vorliegen eines - an qualifizierte Voraussetzungen gebundenen - Betrugs. Es erachtete ein straf bare s Verhalten des Beklagten erst zu dem Zeitpunkt gegeben, als dieser das erste Revisionsformular am 17. Mai 2002 (unwahr heitsgemäss) ausfüllte ( Urk. 2/</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