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BV.2013.00035 vom 29. Mai 2015</w:t>
      </w:r>
    </w:p>
    <w:p>
      <w:r>
        <w:t>ZH Sozialversicherungsgericht, 2015-05-29, DE</w:t>
      </w:r>
    </w:p>
    <w:p>
      <w:r>
        <w:rPr>
          <w:b/>
        </w:rPr>
        <w:t xml:space="preserve">Quelle: </w:t>
      </w:r>
      <w:r>
        <w:t>https://mcp.opencaselaw.ch/entscheid/zh_sozialversicherungsgericht_BV.2013.00035</w:t>
      </w:r>
    </w:p>
    <w:p>
      <w:r>
        <w:t>FR: ZH_SOZIALVERSICHERUNGSGERICHT BV.2013.00035 du 29 mai 2015</w:t>
      </w:r>
    </w:p>
    <w:p>
      <w:r>
        <w:t>IT: ZH_SOZIALVERSICHERUNGSGERICHT BV.2013.00035 del 29 maggio 2015</w:t>
      </w:r>
    </w:p>
    <w:p>
      <w:pPr>
        <w:pStyle w:val="Heading2"/>
      </w:pPr>
      <w:r>
        <w:t>Erwägungen</w:t>
      </w:r>
    </w:p>
    <w:p>
      <w:r>
        <w:rPr>
          <w:b/>
        </w:rPr>
        <w:t>E. 1.1</w:t>
      </w:r>
    </w:p>
    <w:p>
      <w:r>
        <w:t>Nach Art. 23 lit . a des Bundesgesetzes über die berufliche Alters-, Hinterlasse nen und Invalidenvorsorge (BVG) hat Anspruch auf eine Invalidenrente,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mit Hinweisen; Urteil des Bundesgerichts B 49/00 vom 7. Januar 2003 E. 3, publiziert in: SZS 2003 S. 521), unabhängig davon, in welchem Zeitpunkt und in welchem Masse daraus ein Anspruch auf Invalidenleistungen entsteht. Die Versicherteneigen schaft muss nur bei Eintritt der Arbeitsunfähigkeit gegeben sein, dagegen nicht notwendigerweise auch im Zeitpunkt des Eintritts oder der Verschlimmerung der Invalidität. Für eine einmal aus – während der Versicherungsdauer aufge tretener – Arbeitsunfähigkeit geschuldete Invalidenleistung bleibt die Vorsorge einrichtung somit leistungspflichtig, selbst wenn sich nach Beendigung des Vorsorgeverhältnisses der Invaliditätsgrad ändert. Entsprechend bildet denn auch der Wegfall der Versicherteneigenschaft keinen Erlöschungsgrund (Art. 26 Abs. 3 BVG e contrario ; BGE 123 V 262 E. 1a , 118 V 35 E. 5).</w:t>
      </w:r>
    </w:p>
    <w:p>
      <w:r>
        <w:rPr>
          <w:b/>
        </w:rPr>
        <w:t>E. 1.2</w:t>
      </w:r>
    </w:p>
    <w:p>
      <w:r>
        <w:t>Die Leistungspflicht einer Vorsorgeeinrichtung für eine erst nach Beendigung des Vorsorgeverhältnisses eingetretene oder verschlimmerte Invalidität setzt voraus, dass zwischen der relevanten Arbeitsunfähigkeit und der nachfolgenden Invalidität ein enger sachlicher und zeitlicher Zusammenhang besteht. Der sachliche Zusammenhang ist zu bejahen, wenn der der Invalidität zugrunde lie gende Gesundheitsschaden im Wesentlichen derselbe ist, der zur Arbeits unfä higkeit geführt hat (BGE 123 V 262 E. 1c , 120 V 112 E. 2c/ aa und bb mit Hin weisen). Die Annahme eines engen zeitlichen Zusammenhangs setzt voraus, dass die versicherte Person nach Eintritt der Arbeitsunfähigkeit nicht während längerer Zeit wieder arbeitsfähig wurde (BGE 123 V 262 E. 1c mit Hinweisen).</w:t>
      </w:r>
    </w:p>
    <w:p>
      <w:r>
        <w:rPr>
          <w:b/>
        </w:rPr>
        <w:t>E. 1.3</w:t>
      </w:r>
    </w:p>
    <w:p>
      <w:r>
        <w:t>Für den Eintritt der Arbeitsunfähigkeit im Sinne von Art. 23 lit . a BVG ist die Einbusse an funktionellem Leistungsvermögen im bisherigen Beruf massgeblich; sie ist relevant, wenn sie mindestens 20 % beträgt und sich auf das Arbeits ver hältnis sinnfällig auswirkt oder ausgewirkt hat (Urteile des Bundesgerichts 9C_18/2009 vom 7. April 2009 E. 3.2.1 und 9C_772/2007 vom 26. Februar 2008 E. 3.2). Der zeitliche Zusammenhang zur später eingetretenen Invalidität als weitere Voraussetzung für den Anspruch auf Invalidenleistungen der damaligen Vorsorgeeinrichtung beurteilt sich hingegen nach der Arbeits ( un ) fähigkeit in ei ner der gesundheitlichen Beeinträchtigung angepassten zumutbaren Tätigkeit. Diese Beschäftigungen müssen jedoch bezogen auf die angestammte Arbeit die Erzielung eines rentenausschliessenden Einkommens erlauben (BGE 134 V 20 E. 5.3; Urteil des Bundesgerichts 9C_292/2008 vom 22. August 2008 E. 2.2.2).</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 scheint (BGE 126 V 309 E. 1 in fine ). Diese Konzeption fusst auf der Überle gung, die Organe der (obligatorischen) beruflichen Vorsorge von eigenen auf wändigen Abklärungen freizustellen, und gilt nur bezüglich Feststellungen und Beurtei 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 richtung beziehungsweise das Berufsvorsorgegericht zur Folge (Urteil des Bun desgerichts 9C_49/2010 vom 23. Februar 2010 E. 2.1). Diese Bindungswirkung setzt voraus, dass die Vorsorgeeinrichtung (spätestens) ins Vorbescheidverfahren ( aArt . 73 bis</w:t>
      </w:r>
    </w:p>
    <w:p>
      <w:r>
        <w:t>der Verordnung über die Invalidenversi cherung [IVV] ; seit 1. Juli 2006: Art. 73 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 schei dend war, und zwar ungeachtet dessen, ob der Vorsorgeversicherer im Ver fah ren der Invalidenversicherung beteiligt war oder nicht. Vorbehalten sind jene Fälle, in denen eine gesamthafte Prüfung der Aktenlage ergibt, dass die Invali ditäts bemessung der Invalidenversicherung offensichtlich unhaltbar war (BGE 130 V 270 E. 3.1). 2.</w:t>
      </w:r>
    </w:p>
    <w:p>
      <w:r>
        <w:rPr>
          <w:b/>
        </w:rPr>
        <w:t>E. 2</w:t>
      </w:r>
    </w:p>
    <w:p>
      <w:r>
        <w:t>A m 15. Mai 2013 (Urk. 1) erhob</w:t>
      </w:r>
    </w:p>
    <w:p>
      <w:r>
        <w:t>X.___</w:t>
      </w:r>
    </w:p>
    <w:p>
      <w:r>
        <w:t>Klage gegen die BVG- Sammel stiftung Swiss Life</w:t>
      </w:r>
    </w:p>
    <w:p>
      <w:r>
        <w:t>und beantragte , es sei ihm zu Lasten der Beklagten mit Wir kung ab Oktober 2006 – eventuell mit Wirkung ab Januar 2011 – e ine ganze regle mentarische Invalidenren te in der Höhe von monatlich Fr. 1'280.-- unter Beachtung des jeweiligen Teuerungsausgleichs zuzüglich Zins von 5 % pro Jahr ab Klageer hebung zuzusprechen .</w:t>
      </w:r>
    </w:p>
    <w:p>
      <w:r>
        <w:t>Die BVG-Sammelstiftung Swiss Life schloss in ihrer Klageantwort vom 4. Juli 2013 (Urk. 6) auf Klageabweisung. Mit Verfügung v om 12. Juli 2013 (Urk. 8) wurde</w:t>
      </w:r>
    </w:p>
    <w:p>
      <w:r>
        <w:t>ein zweiter Schriftenwechsel angeordnet . Gleichzeitig erfolgte der Beizug der Akten der Invalidenversicherung in Sachen des Klägers</w:t>
      </w:r>
    </w:p>
    <w:p>
      <w:r>
        <w:t>(Urk. 11/1- 1 37) .</w:t>
      </w:r>
    </w:p>
    <w:p>
      <w:r>
        <w:t>A m 18. November 2013 (Urk. 19/1) fasste</w:t>
      </w:r>
    </w:p>
    <w:p>
      <w:r>
        <w:t>X.___</w:t>
      </w:r>
    </w:p>
    <w:p>
      <w:r>
        <w:t>mit gleichlautendem Rechtsbegehren die Pensionskasse der Firma Z.___ ins Recht , worauf diesbe züglich unter der Geschäfts-Nr. BV .2013.00089 ein Verfahren angelegt wurde. I m vorliegenden Prozess BV.2013.000</w:t>
      </w:r>
    </w:p>
    <w:p>
      <w:r>
        <w:rPr>
          <w:b/>
        </w:rPr>
        <w:t>E. 2.1</w:t>
      </w:r>
    </w:p>
    <w:p>
      <w:r>
        <w:t>Der Kläger</w:t>
      </w:r>
    </w:p>
    <w:p>
      <w:r>
        <w:t>führte zur Klagebegründung im Wesentlichen aus (Urk. 1 S. 9 ff., Urk. 19/1 S. 10 ff. , Urk. 17 S. 5 f., Urk. 32 S. 2 ff. ) , hinsichtlich des von der IV-Stelle rechtskräftig festgelegte n Rentenbeginn s</w:t>
      </w:r>
    </w:p>
    <w:p>
      <w:r>
        <w:t>per 1. Januar 2011 bestehe we gen offensichtlich er Unri chtigkeit keine Bindungswirkung. A b 28. September 2004 sei</w:t>
      </w:r>
    </w:p>
    <w:p>
      <w:r>
        <w:t>– hauptsächlich aufgrund eines chronischen generalisierten Schmerz syndroms</w:t>
      </w:r>
    </w:p>
    <w:p>
      <w:r>
        <w:t>– eine an haltende Arbeitsunfähigkeit von 100 % für die angestammte Tätigkeit als Gar tenbauer</w:t>
      </w:r>
    </w:p>
    <w:p>
      <w:r>
        <w:t>wie auch für e ine Ersatztätigkeit ausgewiesen . Dass zu dieser schmerzhaften Wir belsäulenproblematik auch psychische Komponenten hinzugekommen seien, welche für sich alleine eine Berentung rechtfertig ten , könne nicht darüber hin wegtäuschen, dass nach Lage der Akten in erster Linie das Schmerzsyndrom zur Invalidität geführt habe.</w:t>
      </w:r>
    </w:p>
    <w:p>
      <w:r>
        <w:rPr>
          <w:b/>
        </w:rPr>
        <w:t>E. 2.2</w:t>
      </w:r>
    </w:p>
    <w:p>
      <w:r>
        <w:t>Die Beklagte 1 stellte sich auf den Standpunkt (Urk. 6 S. 2 ff., Urk. 39 S. 2 ff.) , dass der Kläger mit Meldung vom 25. Mai 2005 eine am 28. September 2004 eingetretene Arbeitsunfähigkeit gemeldet habe. Bis zu seinem Austritt aus dem Vorsorgewerk seien keine Leistungen fällig geworden. Sodann bestehe ihrerseits keine Nachhaftungspflicht, da die Firma Z.___ den Anschlussvertrag auf den 31. Dezember 2007 gekündigt und sich per 1. Januar 2008 der Beklagten 2 angeschlossen habe, wobei nur die damaligen Bezüger einer Altersrente bei ihr verblieben seien. Folglich sei sie nicht passivlegitimiert. Im Übrigen fehle es auch am sachlichen Zusammenhang.</w:t>
      </w:r>
    </w:p>
    <w:p>
      <w:r>
        <w:rPr>
          <w:b/>
        </w:rPr>
        <w:t>E. 2.3</w:t>
      </w:r>
    </w:p>
    <w:p>
      <w:r>
        <w:t>Die Beklagte 2 hielt dafür (Urk. 24 S. 4 ff., Urk. 41), der Kläger sei zwar wäh rend der Dauer des Arbeitsverhältnisses mit der Firma Z.___ vom 4. August bis 14. September 2003 und ab 28. September 2004 arbeitsunfähig gewesen. Der damaligen Einschränkung des Leistungsvermögens habe indes mit dem lumbospondylogenen Schmerzsyndrom ein anderer Gesundheitsschaden zugrunde gelegen als der nun invalidisierenden Arbeitsunfähigkeit, welche auf eine psychiatrische Erkrankung zurückzuführen sei. 3 .</w:t>
      </w:r>
    </w:p>
    <w:p>
      <w:r>
        <w:t>Der Vorbescheid der IV-Stelle vom 2. Dezember 2010 (Urk. 11/104) wie auch deren</w:t>
      </w:r>
    </w:p>
    <w:p>
      <w:r>
        <w:t>unangefochten in Rechtskraft erwachsene</w:t>
      </w:r>
    </w:p>
    <w:p>
      <w:r>
        <w:t>Rentenverfügung vom 8. März 2011 (Urk. 11/114) wurde der Beklagten 1 zu gestellt , nicht aber der Beklag ten 2. Da letztere jedoch auf die invalidenversicherungsrechtliche Betrach tungsweise, na mentlich die Festsetzung des Beginns des Wartejahres per Januar 201 0 , ab stellt (Urk. 24 S. 5), muss der Kläger sich diese entgegenhalten lassen.</w:t>
      </w:r>
    </w:p>
    <w:p>
      <w:r>
        <w:t>Ein diese Bindungswirkung ausschliessender Tatbestand, insbesondere eine ver spätete IV-Anmeldung, ist mit Blick auf das Leistungsgesuch vom 28. Augu st 2005 (Urk. 11/1 S. 8) und den per 1. Januar 2011 festgesetzten Rentenbeginn nicht gegeben . Sodann knüpfen die reglementarischen Bestimmungen (Urk. 7/3 S. 4, Urk. 7/5 S. 6, Urk. 25/7 S. 13) unstreitig an den Invaliditätsbegriff der In validenversicherung an, weshalb die in der IV-Verfügung getroffenen Feststel lungen in Bezug auf den Eintritt der invali disierenden Arbeitsunfähigkeit und die Eröffnung der Wartezeit verbindlich sind. Vorbehalten bleibt einzig die R üge der offensichtlichen Unhaltbarkeit. 4.</w:t>
      </w:r>
    </w:p>
    <w:p>
      <w:r>
        <w:t>4. 1</w:t>
      </w:r>
    </w:p>
    <w:p>
      <w:r>
        <w:t>Die IV-Stelle hielt in ihrem Rentenentscheid vom 8. März 2011 (Urk. 11/114) dafür, dass im beweiskräftigen psychiatrischen Gutachten von Dr. A.___ vom 2. September 2009 kein die Arbeitsfähigkeit tangierender Gesundheitsschaden festgestellt worden sei. Im weiteren Verlauf sei es zu einer Verschlechterung des psychischen Gesundheitszustandes gekommen, welche im Januar 2010 (Beginn der einjährigen Wartezeit) zur Hospitalisation in der psychiatrischen Klinik B.___ und einer seither bestehenden Arbeitsunfähigkeit von 100 % in bisheriger und angepasster Tätigkeit geführt habe. Folglich stehe dem Kläger ab 1. Januar 2011 eine ganze Rente auf der Basis eines Invaliditätsgrades von 100 % zu. 4. 2</w:t>
      </w:r>
    </w:p>
    <w:p>
      <w:r>
        <w:t>4. 2 . 1</w:t>
      </w:r>
    </w:p>
    <w:p>
      <w:r>
        <w:t>Im Nachgang zur Kündigung vom 28. September 20 0 4 (Urk. 11/4/4-5) wurde dem Kläger durch Dr. med. C.___ , Fachärztin für Allgemeinmedizin, eine Arbeitsunfähigkeit von 100 % attes tiert (Urk. 11/11/8, Urk. 11/11/10-11, Urk. 11/11/13-14 , Urk. 11/9/5 ), welche mit der Diagnose eines chronischen lumbo spondylo genen Syndroms beidseits begrün det wurde. Dabei konnten die geklagten massiven Beschwerden nicht durch ein anatomi sches Korrelat erklärt werden (vgl. Bericht von Dr. med. D.___ , Spezialärztin FMH für Physikalische Medizin und Rehabilitation, speziell Rheumaerkrankun gen , vom 19. September 2003 [Urk. 7/11] , Austrittsbericht der Klinik E.___ vom 10. Januar 2005 [Urk. 11/9/6-10 S. 2 Mitte], Bericht betreffend MR-Untersuchung der Lenden wirbelsäule [LWS] vom 24. Mai 2005 [Urk. 11/9/13], Bericht von Dr. C.___ vom 6. Oktober 2005 [Urk. 11/9/5] , Bericht des Spitals F.___ vom 7. Februar 2006 betreffend Ambu lantes Inter disziplinäres Schmerz-Programm [ AISP ] vom 8. November 2005 bis 26. Januar 2006 [Urk. 11/20/3-5]). 4. 2 .2</w:t>
      </w:r>
    </w:p>
    <w:p>
      <w:r>
        <w:t>Da als (Mit-)Ursache der Beschwerden eine Lyme -Neuroborreliose im Sinne ei ner Radikulitis in Betracht gezogen worden war (vgl. Berichte von Dr. med. G.___ , Facharzt für Innere Medizin, vom 23. Dezember 2005 und 15. Mai 2006 [Urk. 11/ 21/1-4] und Stellungnahme von PD Dr. med. H.___ , Facharzt für Neu rologie, Reg ionaler Ärztlicher Dienst [RAD] der IV-Stelle , vom 22. März 2007 [Urk. 11/45]) , wurde die Verfügung der IV-Stelle vo m 24. Oktober 2006 (Urk. 11/37) m it Urteil des hiesigen Gerichts vom 30. November 2007 (Urk. 11/53) aufgehoben und die Sache zur ergänzenden medizinischen Abklä rung und Neuverfügung an diese zurückgewiesen. 4. 2 .3</w:t>
      </w:r>
    </w:p>
    <w:p>
      <w:r>
        <w:t>I n de m</w:t>
      </w:r>
    </w:p>
    <w:p>
      <w:r>
        <w:t>daraufhin am 27. November 2008 bei der IV-Stelle eingegangenen neuro logischen Gutachten der Neurologischen Klinik und Poliklinik des Spitals F.___</w:t>
      </w:r>
    </w:p>
    <w:p>
      <w:r>
        <w:t>(Urk. 11/69/1-9; vgl. auch neuropsychologisches Teilgutachten vom 22. A ugust 2008 [Urk. 11/69/10-12]) wurde eine Neuroborreliose ausgeschlossen. Die Gut achter diagnostizierten ein c hronisches generalisiertes Schmerzsyndrom und schlossen auf eine Arbeitsunfähigkeit von 100 %, welche nicht primär im Rah men einer neurologischen Erkrankung zu erk lären, sondern differential diagnos tisch auf ein psychisches Leiden mit Kr ankheitswert (DD: affektive Stö rung) zurückzuführen sei. Entsprechend empfahlen sie eine psychiatr ische Abklärung (S. 5 ff.) . 4. 2 .4</w:t>
      </w:r>
    </w:p>
    <w:p>
      <w:r>
        <w:t>Dr. med. A.___ , Spezialarzt für Psychiatrie und Psychotherapie, stellte im von der IV-Stelle eingeholten Gutachten vom 2. September 2009 (Urk. 11 /79/1-25) die Diagnosen einer chronischen Schmerzstörung mit somatischen und psychi schen Faktoren (ICD-10 F45.41) und einer Dysthymia (ICD-10 F34.1), bestehend seit dem Jahr 2004 respektive 2007 (S. 9). Dadurch ergebe sich jedoch aus versi cherungsmedizinischer Sicht keine relevante Arbeitsunfähigkeit, da beim Kläger die Voraussetzungen für die ausnahmsweise Unzumutbarkeit einer wil lentlichen Schmerzüberwindung nicht erfüllt seien. Diese Einschätzung gelte überwiegend wahrscheinlich bereit s ab dem Jahr 2004 und betreffe jede Art von Tätigkeit (S. 15 f.). 4. 2 .</w:t>
      </w:r>
    </w:p>
    <w:p>
      <w:r>
        <w:rPr>
          <w:b/>
        </w:rPr>
        <w:t>E. 5</w:t>
      </w:r>
    </w:p>
    <w:p>
      <w:r>
        <w:t>Nach dem Gesagten erweisen sich die Klagen als unbegründet, weshalb sie abzu weisen sind.</w:t>
      </w:r>
    </w:p>
    <w:p>
      <w:r>
        <w:rPr>
          <w:b/>
        </w:rPr>
        <w:t>E. 6</w:t>
      </w:r>
    </w:p>
    <w:p>
      <w:r>
        <w:t>Die Beklagte 2 beantragte die Zusprache einer Prozessentschädigung</w:t>
      </w:r>
    </w:p>
    <w:p>
      <w:r>
        <w:t>( Urk. 24</w:t>
      </w:r>
    </w:p>
    <w:p>
      <w:r>
        <w:t>S.</w:t>
      </w:r>
    </w:p>
    <w:p>
      <w:r>
        <w:t>2).</w:t>
      </w:r>
    </w:p>
    <w:p>
      <w:r>
        <w:t>Art. 73 Abs. 2 BVG schliesst einen Anspruc h der obsiegenden Versicherungs - träge rinnen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vorliegend - trotz des entsprechenden Antrags der Beklag ten 2 – anders zu verfahren (vgl. BGE 128 V 133 E. 5b, 126 V 150 E. 4a, 118 V 169 E. 7 und 117 V 349 E. 8, mit Hinweisen; vgl. auch BGE 122 V 125 E. 5b und 320 E. 1a und b sowie 112 V 356 E. 6). Das Gericht erkennt: 1.</w:t>
      </w:r>
    </w:p>
    <w:p>
      <w:r>
        <w:t>Die Klagen werden abgewiesen. 2.</w:t>
      </w:r>
    </w:p>
    <w:p>
      <w:r>
        <w:t>Das Verfahren ist kostenlos. 3.</w:t>
      </w:r>
    </w:p>
    <w:p>
      <w:r>
        <w:t>Es werden keine Prozessentschädigung en zugesprochen. 4.</w:t>
      </w:r>
    </w:p>
    <w:p>
      <w:r>
        <w:t>Zustellung gegen Empfangsschein an: - Fürsprecher Rudolf Gautschi - BVG-Sammelstiftung Swiss Life - Pensionskasse der Firma Z.___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