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BV.2012.00081 vom 30. Januar 2014</w:t>
      </w:r>
    </w:p>
    <w:p>
      <w:r>
        <w:t>ZH Sozialversicherungsgericht, 2014-01-30, DE</w:t>
      </w:r>
    </w:p>
    <w:p>
      <w:r>
        <w:rPr>
          <w:b/>
        </w:rPr>
        <w:t xml:space="preserve">Quelle: </w:t>
      </w:r>
      <w:r>
        <w:t>https://mcp.opencaselaw.ch/entscheid/zh_sozialversicherungsgericht_BV.2012.00081</w:t>
      </w:r>
    </w:p>
    <w:p>
      <w:r>
        <w:t>FR: ZH_SOZIALVERSICHERUNGSGERICHT BV.2012.00081 du 30 janvier 2014</w:t>
      </w:r>
    </w:p>
    <w:p>
      <w:r>
        <w:t>IT: ZH_SOZIALVERSICHERUNGSGERICHT BV.2012.00081 del 30 gennaio 2014</w:t>
      </w:r>
    </w:p>
    <w:p>
      <w:pPr>
        <w:pStyle w:val="Heading2"/>
      </w:pPr>
      <w:r>
        <w:t>Erwägungen</w:t>
      </w:r>
    </w:p>
    <w:p>
      <w:r>
        <w:rPr>
          <w:b/>
        </w:rPr>
        <w:t>E. 1</w:t>
      </w:r>
    </w:p>
    <w:p>
      <w:r>
        <w:t>X.___ , geboren 1952, war ab</w:t>
      </w:r>
    </w:p>
    <w:p>
      <w:r>
        <w:t>1. Januar 2004</w:t>
      </w:r>
    </w:p>
    <w:p>
      <w:r>
        <w:t>bei der Swisscanto Sammel stiftung der Kantonalbanken (nachfolgend: Swisscanto) vorsorgeversichert. Nach Beendigung des Anstellungsverhältnisses per 31.</w:t>
      </w:r>
    </w:p>
    <w:p>
      <w:r>
        <w:t>Dezember 2011 er mittelte die Swisscanto ein Altersguthaben von Fr. 584'874.35 (inkl. Zins bis 3. Februar 2012) und überwies diesen Betrag an die Vorsorgeeinrichtung des neuen Arbeitgebers, der NEST Sammelstiftung (Urk. 7/2-3). Mit Schreiben vom 2 1. Mai 2012 (Urk. 7/1 und 7/4) teilte die Swisscanto der NEST Sammelstiftung und X.___ mit, sie habe beim Eintritt am 1. Janu ar 2004 irrtümlich eine von der Sammelstiftung BVG der " Zürich " Lebensv ersicherungs -G esellschaft (nachfolgend: "Zürich") überwiesene Freizügigkeitsleistung von Fr. 340'381.30 gutgeschrieben, tatsächlich habe aber die für X.___ bestimmte Freizügig keitsleistung Fr. 182'441.20 betragen. Sie ersuchte deshalb die NEST Sammel stiftung um Rückerstattung des Differenzbetrages von Fr. 189'984.20 (verzinst bis 3 1. Mai 2012, vgl. Urk. 12/3) und X.___ um Zustimmung zu dieser Rück überweisung. Während X.___ seine Zustimmung verweigerte, nahm die NEST Sammelstiftung die Transaktion am 2 3. Mai 2012 vor (Urk. 7/</w:t>
      </w:r>
    </w:p>
    <w:p>
      <w:r>
        <w:rPr>
          <w:b/>
        </w:rPr>
        <w:t>E. 5</w:t>
      </w:r>
    </w:p>
    <w:p>
      <w:r>
        <w:t>Zu klären bleibt, ob die Rückforderung der anfangs 2004 falsch verbuchten Frei zügigkeitsleistung im Mai 2012 (Zeitpunkt der R ückzahlung durch die Be klagte, Urk. 7/5) allenfalls verjährt ist. In BGE 127 V 315 setzte sich das Bun d esgericht eingehend mit der Verjährungsfrage von Freizügigkeitsleistungen auseinander und kam zum Schluss, dass der Anspruch auf die Freizügigkeits leistung nicht verjährt, solange die Pflicht zu Erhaltung des Vorsorgeschutzes besteht. Es ging dabei um einen Versicherten, der 12 Jahre nach Austritt aus der Vorsor geeinrichtung mit Blick auf das Erreichen des AHV-Alters die Auszah lung des Freizügigkeitsguthabens verlangte, was die Vorsorgeeinrichtung unter Hinweis auf die zwischenzeitliche Verjährung ab gelehnt hatte.</w:t>
      </w:r>
    </w:p>
    <w:p>
      <w:r>
        <w:t>Auch wenn der im Zuge der 1. BVG-Revision neugefasste Art. 41 BVG keine Regelung zur Verjährung von Freizügigkeitsleistungen enthält, ist davon auszu gehen, dass der in BGE 127 V 315 formulierte Grundsatz der Nichtverjährbar keit von Freizügigkeitsleistungen nach wie vor gültig ist. Die Pflicht zur Erhal tung des Vorsorgeschutzes wurde mit der 1. BVG-Revision etwa mit den Vorschriften Erh altung von Freizügigkeitskonten oder - policen während 10 Jahren nach dem ordentlichen Rücktrit tsalter ( Art. 41 Abs. 3 BVG) oder der ex pliziten Unverjährbarkeit des Rentenstammrechts (Art. 41 Abs. 1 BVG) massge blich verstärkt.</w:t>
      </w:r>
    </w:p>
    <w:p>
      <w:r>
        <w:t>Vorstehend (E. 4.1) wurde dargelegt, dass die Vorsorgeeinrichtung die Austritts leistung aus dem früheren Vorsorgeverhältnis des Versicherten selbständig ein fordern kann. Wie für einen Versicherten muss die Unverjährbarkeit unter denselben Voraussetzungen auch für eine Vorsorgeeinrichtung gelten. Es wäre nicht einsichtig, wenn der Versicherte eine Freizügigkeitsleistung bis zum ordentlichen Rücktrittsalter ohne Berücksichtigung einer Verjährung nachfor dern könnte, im gegenteiligen Fall aber die Korrektur wegen Verjährung nicht möglich wäre und der Schaden von der Versicherungsgemeinschaft zu tragen wäre. Daraus folgt, dass der Anspruch der Beigeladenen auf Rückerstattung der an die Beklagte zu viel überwiesenen Freizügigkeitsleistung nicht verjährt war, da der Versicherte das ordentliche Rentenalter noch nicht erreicht hatte.</w:t>
      </w:r>
    </w:p>
    <w:p>
      <w:r>
        <w:rPr>
          <w:b/>
        </w:rPr>
        <w:t>E. 6</w:t>
      </w:r>
    </w:p>
    <w:p>
      <w:r>
        <w:t>Soweit der Kläger unter Hinweis auf die jährlich ausgestellten Vorsorgeausweise einen Anspruch aus dem Grundsatz von Treu und Glauben (Vertrauensschutz) ableitet (Urk. 17 S. 9), bleibt darauf hinzuweisen, dass einem Versicherungsaus weis reiner Informationscharakter und keine konstitutive Wirkung zu kommt (Urteil des Bundesgerichts 9C_871/2011 vom 7. Mai 2012 E. 4.2 mit weiteren Hinweisen) . Leistungen können erst im Vorsorgefall verbindlich festgelegt wer den. Der Kläger behauptet denn auch zu Recht nicht, dass ihm die Beklagte be stimmte Leistungen zugesichert hätte. Wenn der Kläger unter Verzicht auf eine schriftliche bestätigte Auskunft die Altersplanung vornahm (Urk. 17 S. 15), kann er sich nunmehr nicht mit Erfolg auf den Vertrauensschutz berufen. Im Übrigen is t die behauptete Gutgläubigkeit in Bezug auf die in den Vorsorgeaus weisen der Beigeladenen aufgeführten Altersg uthaben in Frage zu stellen (vgl. Urk. 17 S. 9). Es ist ohne Weiteres davon auszugehen, dass der Kläger beim Austritt per Ende 2003 von der "Zürich" die gesetzlich vorgeschriebene Aus trittsabrechnung erhalten hat ( Art.</w:t>
      </w:r>
    </w:p>
    <w:p>
      <w:r>
        <w:rPr>
          <w:b/>
        </w:rPr>
        <w:t>E. 8</w:t>
      </w:r>
    </w:p>
    <w:p>
      <w:r>
        <w:t>.</w:t>
      </w:r>
    </w:p>
    <w:p>
      <w:r>
        <w:t>Die obsiegende Beklagte</w:t>
      </w:r>
    </w:p>
    <w:p>
      <w:r>
        <w:t>sowie</w:t>
      </w:r>
    </w:p>
    <w:p>
      <w:r>
        <w:t>die Beigeladene</w:t>
      </w:r>
    </w:p>
    <w:p>
      <w:r>
        <w:t>können als mit der Durchfüh rung öffentlicher Aufgaben betraute Institution en</w:t>
      </w:r>
    </w:p>
    <w:p>
      <w:r>
        <w:t>grundsätzlich keine Partei entschädigung beanspruchen ( § 34 Abs. 2 G SVGer; vgl. BGE 128 V 133 E. 5b mit weiteren Hinweisen).</w:t>
      </w:r>
    </w:p>
    <w:p>
      <w:r>
        <w:t>Das Gericht erkennt: 1.</w:t>
      </w:r>
    </w:p>
    <w:p>
      <w:r>
        <w:t>Die Klage wird abgewiesen. 2.</w:t>
      </w:r>
    </w:p>
    <w:p>
      <w:r>
        <w:t>Das Verfahren ist kostenlos. 3.</w:t>
      </w:r>
    </w:p>
    <w:p>
      <w:r>
        <w:t>Es werden keine Prozessentschädigung en zugesprochen. 4.</w:t>
      </w:r>
    </w:p>
    <w:p>
      <w:r>
        <w:t>Zustellung gegen Empfangsschein an: - Rechtsanwalt Tobias Figi - NEST Sammelstiftung - Swisscanto Sammelstiftung der Kantonalbanken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