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BV.2012.00028 vom 20. Dezember 2013</w:t>
      </w:r>
    </w:p>
    <w:p>
      <w:r>
        <w:t>ZH Sozialversicherungsgericht, 2013-12-20, DE</w:t>
      </w:r>
    </w:p>
    <w:p>
      <w:r>
        <w:rPr>
          <w:b/>
        </w:rPr>
        <w:t xml:space="preserve">Quelle: </w:t>
      </w:r>
      <w:r>
        <w:t>https://mcp.opencaselaw.ch/entscheid/zh_sozialversicherungsgericht_BV.2012.00028</w:t>
      </w:r>
    </w:p>
    <w:p>
      <w:r>
        <w:t>FR: ZH_SOZIALVERSICHERUNGSGERICHT BV.2012.00028 du 20 décembre 2013</w:t>
      </w:r>
    </w:p>
    <w:p>
      <w:r>
        <w:t>IT: ZH_SOZIALVERSICHERUNGSGERICHT BV.2012.00028 del 20 dicembre 2013</w:t>
      </w:r>
    </w:p>
    <w:p>
      <w:pPr>
        <w:pStyle w:val="Heading2"/>
      </w:pPr>
      <w:r>
        <w:t>Erwägungen</w:t>
      </w:r>
    </w:p>
    <w:p>
      <w:r>
        <w:rPr>
          <w:b/>
        </w:rPr>
        <w:t>E. 1.1</w:t>
      </w:r>
    </w:p>
    <w:p>
      <w:r>
        <w:t>Nach Art. 122 Abs. 1 ZGB hat jeder Ehegatte Anspruch auf die Hälfte der nach dem Freizügigkeitsgesetz für die Ehedauer zu ermittelnden Austrittsleistung des anderen Ehegatten, wenn ein Ehegatte einer Einrichtung der beruflichen Vor sorge angehört oder beide Ehegatten einer solchen angehören und bei keinem Ehegatten ein Vorsorgefall eingetreten ist. Stehen den Ehegatten gegenseitig Ansprüche zu, so ist nur der Differenzbetrag zu teilen (Art. 122 Abs. 2 ZGB).</w:t>
      </w:r>
    </w:p>
    <w:p>
      <w:r>
        <w:rPr>
          <w:b/>
        </w:rPr>
        <w:t>E. 1.1.1</w:t>
      </w:r>
    </w:p>
    <w:p>
      <w:r>
        <w:t>Mit Urteil des Bezirksgerichts O.___ vom 23. April 2010 (Urk. 2/69) wurde die Ehe zwischen X.___ und Y.___ geschieden; im Scheidungspunkt ist das Urteil am 11. Oktober 2010 in Rechtskraft erwachsen (Urk. 2/85 S. 3). Das auf Berufung in Bezug auf Dispositiv-Ziffer 4 des Urteils (Anordnung der hälftigen Teilung der Austrittsleistung der beruflichen Vor sorge) hin ergangene Urteil des Obergerichts vom 3. Dezember 2010 erwuchs mit Urteil des Bundesgerichts vom 26. Januar 2012 in Rechtskraft. Am 23. März 2012 überwies das Obergericht des Kantons Zürich die Akten (Urk. 2) zur Durchführung der Teilung der Austrittsleis tungen an das Sozialver sicherungsgericht des Kantons Zürich (Urk. 1).</w:t>
      </w:r>
    </w:p>
    <w:p>
      <w:r>
        <w:rPr>
          <w:b/>
        </w:rPr>
        <w:t>E. 1.2</w:t>
      </w:r>
    </w:p>
    <w:p>
      <w:r>
        <w:t>Laut dem bis am 31. Dezember 2010 in Kraft gestandenen und - angesichts des am 21. Februar 2008 rechtshängig gemachten Scheidungsverfahrens (Urk. 2/1) - vorliegend zur Anwendung gelangenden Art. 142 ZGB entscheidet das (Scheidungs-) Gericht über das Verhältnis, in welchem die Austrittsleistungen zu tei len sind, wenn keine Vereinbarung zustande kommt (Abs. 1). Sobald der Ent scheid über das Teilungsverhältnis rechtskräftig ist, überweist das Gericht die Streitsa che von Amtes wegen dem nach dem Freizügigkeitsgesetz zuständigen Gericht (Abs. 2). Gemäss Abs. 3 derselben Bestimmung sind diesem insbeson dere der Entscheid über das Teilungsverhältnis (Ziffer 1), das Datum der Ehe schliessung und das Datum der Ehescheidung (Ziffer 2), die Einrichtungen der beruflichen Vorsorge, bei denen den Ehegatten voraussichtlich Guthaben zuste hen (Ziffer 3), und die Höhe der Guthaben der Ehegatten, die diese Einrichtun gen gemeldet haben (Ziffer 4), mitzuteilen.</w:t>
      </w:r>
    </w:p>
    <w:p>
      <w:r>
        <w:rPr>
          <w:b/>
        </w:rPr>
        <w:t>E. 1.3</w:t>
      </w:r>
    </w:p>
    <w:p>
      <w:r>
        <w:t>Anteile einer Einmaleinlage, die ein Ehegatte während der Ehe aus Mitteln finan ziert hat, die unter dem Güterstand der Errungenschaftsbeteiligung von Gesetzes wegen sein Eigengut wären (Art. 198 ZGB), sind nach Art. 22 Abs. 3 FZG - zuzüglich Zins - von der zu teilenden Austrittsleistung abzuziehen.</w:t>
      </w:r>
    </w:p>
    <w:p>
      <w:r>
        <w:t>Laut Art. 198 ZGB sind Eigengut von Gesetzes wegen: die Gegenstände, die einem Ehegatten ausschliesslich zum</w:t>
      </w:r>
    </w:p>
    <w:p>
      <w:r>
        <w:t>persönlichen Gebrauch dienen (Ziff. 1); die Vermögenswerte, die einem Ehegatten zu Beginn des Güterstandes</w:t>
      </w:r>
    </w:p>
    <w:p>
      <w:r>
        <w:t>gehören oder ihm später durch Erbgang oder sonstwie</w:t>
      </w:r>
    </w:p>
    <w:p>
      <w:r>
        <w:t>unentgeltlich zufallen (Ziff. 2) ; Genugtuungsansprüche (Ziff. 3); Ersatzanschaffungen für Eigengut (Ziff. 4) .</w:t>
      </w:r>
    </w:p>
    <w:p>
      <w:r>
        <w:t>Wer behauptet, ein bestimmter Vermögenswert sei Eigentum des</w:t>
      </w:r>
    </w:p>
    <w:p>
      <w:r>
        <w:t>einen oder andern Ehegatten, muss dies beweisen (Art. 200 Abs. 1 ZGB) . Kann dieser Be weis nicht erbracht werden, so wird Miteigentum beider</w:t>
      </w:r>
    </w:p>
    <w:p>
      <w:r>
        <w:t>Ehegatten ange nom men (Abs. 2) .</w:t>
      </w:r>
    </w:p>
    <w:p>
      <w:r>
        <w:t>Alles Vermögen eines Ehegatten gilt bis zum Beweis des Gegen teils</w:t>
      </w:r>
    </w:p>
    <w:p>
      <w:r>
        <w:t>als Errungenschaft (Abs. 3) .</w:t>
      </w:r>
    </w:p>
    <w:p>
      <w:r>
        <w:rPr>
          <w:b/>
        </w:rPr>
        <w:t>E. 1.4</w:t>
      </w:r>
    </w:p>
    <w:p>
      <w:r>
        <w:t>Mit Verfügung vom 8. Januar 2013 (Urk. 13) wurde das von X.___ am 2. Mai 2012 gestellte Gesuch um Sistierung des Verfahrens (Urk . 7 S. 2, Urk. 11) abgewiesen. Den Parteien wurde die eingeholte Meldung der Vorsorgeeinrichtung von X.___ zur Kenntnis gebracht sowie die sich daraus ergebende Transferleistung beziffert, und es wurde ihnen Gelegenheit gegeben, Anträge zu stellen. Die Parteien wurden darauf hingewiesen, dass bei Stillschweigen von der Richtigkeit und Vollständigkeit der eingereichten Abrechnung und der ge troffenen Annahmen (namentlich betreffend Höhe der zu teilenden Austrittsleistungen) ausgegangen und die Teilung entsprechend angeordnet werde.</w:t>
      </w:r>
    </w:p>
    <w:p>
      <w:r>
        <w:t>Während sich Y.___ in der Folge mit Schreiben vom 15. Januar 2013 (Urk. 15) mit der vorgesehenen Teilung einverstanden erklärte und die S.___ auf eine Stel lungnahme verzichtete, beantragte X.___ mit Eingabe vom 16. Januar 2013 (Urk. 16) unter anderem sinngemäss, die während der Dauer der Ehe er folgten Einkäufe seien von der Teilung auszunehmen (Urk. 16 S. 2).</w:t>
      </w:r>
    </w:p>
    <w:p>
      <w:r>
        <w:rPr>
          <w:b/>
        </w:rPr>
        <w:t>E. 1.5</w:t>
      </w:r>
    </w:p>
    <w:p>
      <w:r>
        <w:t>Mit Verfügung vom 31. Januar 2013 (Urk. 17) wurde X.___ daraufhin eine Frist von 20</w:t>
      </w:r>
    </w:p>
    <w:p>
      <w:r>
        <w:t>Tagen angesetzt, um den Beweis zu erbringen, dass und gegebenenfalls in welchem Betrag er während der Dauer der Ehe aus zum Eigengut nach Art. 198 des</w:t>
      </w:r>
    </w:p>
    <w:p>
      <w:r>
        <w:t>Zivilgesetzbuchs ( ZGB ) gehörendem Vermögen Einmaleinlagen im Sinne von Art. 22 Abs. 3 des Bundesgesetzes über die Freizügigkeit in der beruflichen Alters-, Hinterlassenen- und Invalidenvorsorge ( FZG ) getätigt habe . Dabei wies ihn das Gericht darauf hin, dass im Falle, dass er d en Beweis innert dieser Frist nicht erbringe , die während der Ehedauer erfolgten Einmaleinlagen als Errungenschaft gälten . Überdies wurde die S .___ verpflichtet, die Berechnung und Durchführbarkeitserklärung vom 23. April 2012 (Urk. 6) von hiezu berechtigten Personen unterzeichnen zu lassen und – gegebenenfalls unter Beilage einer rechtsgenüglichen Vollmacht - dem Gericht innert 20 Tagen einzureichen. Mit Eingabe vom 12. Februar 2013 (Urk. 19) liess die S .___ dem Gericht eine gleichentags erstellte Berechnung der Freizügigkeitsleistung und Durchführbarkeitserklärung (Urk. 20/1) sowie den Verwaltungsvertrag vom 17. Mai 2010 zwischen ihr und der Z.___ AG ( Urk. 20/2) zukommen. X.___</w:t>
      </w:r>
    </w:p>
    <w:p>
      <w:r>
        <w:t>äussert e sich mit Schreiben vom 4. März 2013 (Urk. 21) – unter Beilage verschiedener Dokumente (Urk. 22/1a-2) - zur Herkunft seines Altersguthabens. Die S .___ und Y.___ nahmen innert der ihnen mit Ver fügung vom 5. März 2013 (Urk. 23) angesetzten Frist zu dieser Eingabe Stellung (Urk. 27, Urk. 28).</w:t>
      </w:r>
    </w:p>
    <w:p>
      <w:r>
        <w:rPr>
          <w:b/>
        </w:rPr>
        <w:t>E. 2</w:t>
      </w:r>
    </w:p>
    <w:p>
      <w:r>
        <w:t>.</w:t>
      </w:r>
    </w:p>
    <w:p>
      <w:r>
        <w:rPr>
          <w:b/>
        </w:rPr>
        <w:t>E. 3</w:t>
      </w:r>
    </w:p>
    <w:p>
      <w:r>
        <w:t>Hinsichtlich der Herkunft der Mittel für den im Jahr 2005 erfolgten Einkauf in der Höhe von Fr. 42‘000.-- geht aus den eingereichten Dokumenten hervor, dass X.___ sich am 4. August 2005 aus dem Rückkauf einer Lebensversiche rung stammendes Guthaben in der Höhe von Fr. 36‘897.10 auf sein Privatkonto überweisen liess und am 19. August 2005, mithin nur rund zwei Wochen später, Fr. 42‘000.-- an die S .___ über wies. Aufgrund der zeitlichen Verhältnisse und der Tatsache, dass der Konto stand vor der Gutschrift aus dem Rückkauf Fr. 11‘336.62 (= Fr. 48‘233.72 ./. Fr. 36‘897.10) betrug und damit gar nicht ausgereicht hätte, um den Einkauf zu tätigen, erscheint als überwiegend wahrscheinlich, dass der Rückkaufsbetrag von Fr. 36‘897.10 für den fraglichen Einkauf verwendet wurde (vgl. hiezu auch Steuererklärung 2005, Urk. 2/9/1). Die zurückgekaufte Lebensversicherung war im August 2000 aus Guthaben einer ausser Kraft gesetzten, im Jahr 1987 (und damit geraume Zeit vor der Heirat am 26. August 1999) abgeschlossenen Le bensversicherung finanziert worden und prämienfrei (Urk. 22/1c-f). Nach Lage der Akten war sie im Rahmen des Scheidungsverfahrens gar nicht erwähnt wor den (vgl. insbesondere Protokoll betreffend Geschäft-Nr. P.___ des Bezirks gerichts</w:t>
      </w:r>
    </w:p>
    <w:p>
      <w:r>
        <w:t>O.___ ; Urk. 2). Insofern wurde der Rückkaufswert X.___ auch nicht bereits bei der Regelung des Güterrechts als Eigengut angerechnet.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