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BV.2012.00002 vom 25. April 2014</w:t>
      </w:r>
    </w:p>
    <w:p>
      <w:r>
        <w:t>ZH Sozialversicherungsgericht, 2014-04-25, DE</w:t>
      </w:r>
    </w:p>
    <w:p>
      <w:r>
        <w:rPr>
          <w:b/>
        </w:rPr>
        <w:t xml:space="preserve">Quelle: </w:t>
      </w:r>
      <w:r>
        <w:t>https://mcp.opencaselaw.ch/entscheid/zh_sozialversicherungsgericht_BV.2012.00002</w:t>
      </w:r>
    </w:p>
    <w:p>
      <w:r>
        <w:t>FR: ZH_SOZIALVERSICHERUNGSGERICHT BV.2012.00002 du 25 avril 2014</w:t>
      </w:r>
    </w:p>
    <w:p>
      <w:r>
        <w:t>IT: ZH_SOZIALVERSICHERUNGSGERICHT BV.2012.00002 del 25 aprile 2014</w:t>
      </w:r>
    </w:p>
    <w:p>
      <w:pPr>
        <w:pStyle w:val="Heading2"/>
      </w:pPr>
      <w:r>
        <w:t>Erwägungen</w:t>
      </w:r>
    </w:p>
    <w:p>
      <w:r>
        <w:rPr>
          <w:b/>
        </w:rPr>
        <w:t>E. 1.1</w:t>
      </w:r>
    </w:p>
    <w:p>
      <w:r>
        <w:t>X.___ , geboren 1967, arbeitete bis 3 1. Juli 2000 bei der Y.___ in ei nem Teilzeitpensum als Raum pflegerin und war damit bei der Sammelstiftung BVG der Elvia</w:t>
      </w:r>
    </w:p>
    <w:p>
      <w:r>
        <w:t>Leben, Schweizerische Lebensver sicherungs-Gesellschaft (heute: Sammelstiftung BVG der Allianz Suisse Lebens versicherungs-Gesellschaf t</w:t>
      </w:r>
    </w:p>
    <w:p>
      <w:r>
        <w:t>[nachfolgend : Sammelstiftung]) vorsorgeversichert (Urk. 7 S. 3 und Urk. 8/1-3). Seit 1. November 2000 bezog sie eine ganze Rente der Invalidenversicherung , wobei sie von der IV-Stelle Wallis in Anwendung der gemischten Methode wie folgt qualifiziert wurde: Auf gabenbereich Haus halt : Anteil 36 %, Arbeitsunfähigkeit: 66 %, Invaliditätsgrad: 24 % ;</w:t>
      </w:r>
    </w:p>
    <w:p>
      <w:r>
        <w:t>Erwerbs bereich : Anteil 64 % , Arbeits unfähigkeit: 100%, Invaliditätsgrad: 64 % . Daraus resultierte ein Gesamt invalid itätsgrad von 88 % ( Urk. 19/27 und Urk. 19/29). Die wegen eines Wohnsitzwechsels in den Kanton Zürich nunmehr zuständige IV-Stelle Zürich nahm im Rahmen der Ende 2009 eingeleiteten Rentenrevision eine Neubeurteilung von und qualifizierte die Versicherte neu als Nichter werbstätige mit einer Einschränkung im Aufgabenbereich Haushalt von 44 %. Dementsprechend verfügte sie am 26.</w:t>
      </w:r>
    </w:p>
    <w:p>
      <w:r>
        <w:t>April 2011 mit Wirkung ab 1.</w:t>
      </w:r>
    </w:p>
    <w:p>
      <w:r>
        <w:t>Juni 2011 die Reduktion der ganzen Rente auf eine Viertelsrente (Urk. 19/129 und Urk. 19/133). Die hiergegen erhobene Beschwerde wies das hiesige Gericht mit unangefochten gebliebenem Entscheid vom 1 8. Juni 2012 ab (Urk. 20).</w:t>
      </w:r>
    </w:p>
    <w:p>
      <w:r>
        <w:rPr>
          <w:b/>
        </w:rPr>
        <w:t>E. 1.2</w:t>
      </w:r>
    </w:p>
    <w:p>
      <w:r>
        <w:t>Mit Schreiben vom 3 1. Januar 2011 (Urk. 8/10) teilte die Sammelstiftung der Klägerin mit, aufgrund der neuen invalidenversicherungsrechtlichen Qualifika tion als Nichterwerbstätige bestehe kein Anspruch mehr auf eine Rente der beruflichen Vorsorge und stellt e diese per Ende März 2011 ein (Urk. 2/4). In der nachfolgenden Korrespondenz konnten sich die Parteien nicht einigen (Urk. 2/4-6).</w:t>
      </w:r>
    </w:p>
    <w:p>
      <w:r>
        <w:rPr>
          <w:b/>
        </w:rPr>
        <w:t>E. 2</w:t>
      </w:r>
    </w:p>
    <w:p>
      <w:r>
        <w:t>Mit Eingabe vom</w:t>
      </w:r>
    </w:p>
    <w:p>
      <w:r>
        <w:t>9. Januar 2012 (Urk. 1) liess X.___ Klage gegen die Sammelstiftung erheben und beantragen, die per 3 1. März 2011 eingestellte In validenrente sei aufgrund eines dem Erwerbsbereich entsprechenden Invalidi tätsgrades von 100 % ab 1. April 2011 weiter auszurichten. Eventualiter sei die Invalidenrente ab 1. April 2011 gestützt auf den von der Invalidenversicherung rechtskräftig festgest e llten Gesamtinvaliditätsgrad weiter auszurichten. Weiter stellte die Beschwerdeführerin das Gesuch um Bestellung ihres Rech tsvertreters als unentgeltlichen Rechtsbeistand.</w:t>
      </w:r>
    </w:p>
    <w:p>
      <w:r>
        <w:t>Mit Klageantwort vom 1 3. März 2012 (Urk. 7) ersuchte die Beklagte um Abwei sung der Klage . Gleichzeitig beantrag t e sie die Sistierung des Prozesses</w:t>
      </w:r>
    </w:p>
    <w:p>
      <w:r>
        <w:t>bis zu r Erledigung des hängigen IV-Beschwerdeverfahrens. Dem Sistierungsgesuch entsprach das Gericht</w:t>
      </w:r>
    </w:p>
    <w:p>
      <w:r>
        <w:t>und sistierte das vorliegende Verfahren bis zur rechts kräftigen Erledigung des Prozesses IV.2011.00563 ( Verfügung vom 2 6. März 2012, Urk. 9).</w:t>
      </w:r>
    </w:p>
    <w:p>
      <w:r>
        <w:t>Mit Verfügung vom 2 3. Oktober 2013 (Urk.  11) hob das Gericht die Sistierung auf, bestellte Rechtsanwalt Dr. Peter Stadler zum unentgeltlichen Rechtsbeistand der Klägerin und ordnete einen zweiten Schriftenwechsel an, worin die Parteien insbesondere zu m Ausgang des invalidenversicherungs rechtlichen Verfahrens (vgl. vorstehend Ziffer 1.1 ). Stellung nehmen sollten. Die Parteien hielten in ihren Rechtsschriften (Replik vom 2 6. November 2013, Urk. 13; Duplik vom1 0. Februar 2014, Urk. 17 ; der Klägerin zugestellt am 12.</w:t>
      </w:r>
    </w:p>
    <w:p>
      <w:r>
        <w:t>Februar 2014, Urk. 18 ) an ihren Anträgen fest.</w:t>
      </w:r>
    </w:p>
    <w:p>
      <w:r>
        <w:rPr>
          <w:b/>
        </w:rPr>
        <w:t>E. 2.4</w:t>
      </w:r>
    </w:p>
    <w:p>
      <w:r>
        <w:t>Die Vorsorgeeinrichtung ist aufgrund der Bindungswirkung (vgl. vorstehend E. 2.2) auch an den von der Invalidenversicherung festgelegten Status der versi cherten Person als Erwerbstätige, Nichterwerbstätige oder Teilerwerbstätige gebunden. Für die Invaliditätsbemessung der beruflichen Vorsorge spielt dieser Status zwar keine Rolle, wohl aber für die Überentschädigungsberechnung (vgl. BGE 129 V 150 E.</w:t>
      </w:r>
    </w:p>
    <w:p>
      <w:r>
        <w:t>2.5).</w:t>
      </w:r>
    </w:p>
    <w:p>
      <w:r>
        <w:t>Gemäss dem vom Bundesrat gestützt auf Art. 34a Abs. 1 BVG erlassenen Art.</w:t>
      </w:r>
    </w:p>
    <w:p>
      <w:r>
        <w:t>24 der Verordnung über die berufliche Alters-, Hinterlassenen- und Invali den vorsorge (BVV 2 ) kann die Vorsorgeeinrichtung die Hinterlassenen- und Invalidenleistungen kürzen, soweit sie zusammen mit anderen anrechenbaren Ein künften 90 Prozent des mutmasslich entgangenen Verdienstes übersteigen ( Abs. 1). Als anrechenbare Einkünfte gelten bei Bezügern von Invalidenleistun gen u.a. das weiterhin erzielte oder zumutbarerweise noch erzielbare Erwerbs- oder Ersatzeinkommen ( Abs. 2 Satz 2). Im Weiteren kann die Vorsorgeeinrich tung die Voraussetzungen und den Umfang der Kürzung jederzeit überprüfen und ihre Leistungen anpassen, wenn die Verhältnisse sich wesentlich ändern (Abs. 5). Ein Statuswechsel kann eine Veränderung des mutmasslich entgange nen Einkommens im Sinne von Art. 24 Abs. 1 BVV 2 bewirken und insofern die Vornahme einer neuen Überentschädigungsberechnung erfordern (vgl. BGE 129 150 E.</w:t>
      </w:r>
    </w:p>
    <w:p>
      <w:r>
        <w:t>2.3).</w:t>
      </w:r>
    </w:p>
    <w:p>
      <w:r>
        <w:rPr>
          <w:b/>
        </w:rPr>
        <w:t>E. 2.5</w:t>
      </w:r>
    </w:p>
    <w:p>
      <w:r>
        <w:t>Im vorliegenden Fall haben sich die erwerblichen Voraussetzungen seit der Ren tenzusprache im Jahr 2000 erheblich geändert. Das hiesige Gericht hat im Ent scheid vom 1 8. Juni 2012 verbindlich festgestellt, dass die Klägerin mindestens seit Herbst 2010 (Zeitpunkt der Haushaltsabklärung, vgl. Urk. 20 E. 4.2) auch im Gesundheitsfall keiner Erwerbstätigkeit mehr nachgehen, sondern sich vollum fänglich der Betreuung ihres kranken Ehemannes widmen würde (Urk. 20 E. 5.3-4). Für die Überentschädigungsberechnung bedeutet dieser Statuswechsel, dass der mutmasslich entgangene Verdienst Fr. 0.-- beträgt, womit die Klägerin mit der Ausrichtung einer Rente aus beruflicher Vorsorge in jedem Fall über entschädigt wäre. Die Beklagte hat somit die Rentenzahlung zu Recht einge stellt, was zur Abweisung der Klage führt.</w:t>
      </w:r>
    </w:p>
    <w:p>
      <w:r>
        <w:rPr>
          <w:b/>
        </w:rPr>
        <w:t>E. 2.6</w:t>
      </w:r>
    </w:p>
    <w:p>
      <w:r>
        <w:t>Zu beachten ist indessen, dass der Rentenanspruch der Klägerin grundsätzlich weiter besteht und lediglich infolge Überversicherung nicht zur Auszahlung gelangt. Dementsprechend hat die Beklagte das Alterskonto der Klägerin im Sinne von Art. 14 BVV 2 weiterzuführen.</w:t>
      </w:r>
    </w:p>
    <w:p>
      <w:r>
        <w:rPr>
          <w:b/>
        </w:rPr>
        <w:t>E. 3</w:t>
      </w:r>
    </w:p>
    <w:p>
      <w:r>
        <w:t>GSVGer ).</w:t>
      </w:r>
    </w:p>
    <w:p>
      <w:r>
        <w:t>F ür unnötigen (oder geringfügigen) Aufwand wird kein e Entschädigung zugesprochen (§ 7 Abs. 1</w:t>
      </w:r>
    </w:p>
    <w:p>
      <w:r>
        <w:t>der Verordnung über die Gebühren, Kosten und Entschädigungen vor dem Sozialversicherungsgericht [ GebV</w:t>
      </w:r>
    </w:p>
    <w:p>
      <w:r>
        <w:t>SVGer ] , was insbesondere auch für die Entschädigung der unentgeltli chen Rechtsvertretung gi lt</w:t>
      </w:r>
    </w:p>
    <w:p>
      <w:r>
        <w:t>( §</w:t>
      </w:r>
    </w:p>
    <w:p>
      <w:r>
        <w:rPr>
          <w:b/>
        </w:rPr>
        <w:t>E. 3.5</w:t>
      </w:r>
    </w:p>
    <w:p>
      <w:r>
        <w:t>mit Hinweisen).</w:t>
      </w:r>
    </w:p>
    <w:p>
      <w:r>
        <w:rPr>
          <w:b/>
        </w:rPr>
        <w:t>E. 8</w:t>
      </w:r>
    </w:p>
    <w:p>
      <w:r>
        <w:t>GebV</w:t>
      </w:r>
    </w:p>
    <w:p>
      <w:r>
        <w:t>SVGer ).</w:t>
      </w:r>
    </w:p>
    <w:p>
      <w:r>
        <w:t>Mit Kostennote vom 2 6. Februar 2014 (Urk. 21) machte der unentgeltliche Rechts vertreter einen Aufwand von insgesamt 14.5 Stunden (8 Stunden für Klage und telefonische Besprechungen mit Klientin, 5 Stunden für Replik inkl. Durchsicht der Klageantwort sowie 1.5 Stunden für Prüfung der Duplik und noch vorzunehmende Prüfung des Urteils und Bespre chung mit Klientin) zuzüglich eine Spesenpauschale von 3 %</w:t>
      </w:r>
    </w:p>
    <w:p>
      <w:r>
        <w:t>geltend .</w:t>
      </w:r>
    </w:p>
    <w:p>
      <w:r>
        <w:t>Die Klageschrift umfasste 6 Seiten und die Replik etwas mehr als 2 Seiten. Es stellte sich lediglich eine spezifisch berufsvorsorgliche</w:t>
      </w:r>
    </w:p>
    <w:p>
      <w:r>
        <w:t>Rechtsfrage; umf angrei che Sachverhalts- oder Beweisfragen gab es nicht bzw. wurden im IV-Verfahren abgehandelt, in welchem der Rechtsvertreter die Klägerin ebenfalls vertreten hatte und damit mit dem Fall vertraut war . Gestützt auf die se Ausführungen erschein t der geltend gemachte Aufwand als zu hoch , und e ine Kürzung um rund einen Drittel auf 10 Stunden ist angebracht .</w:t>
      </w:r>
    </w:p>
    <w:p>
      <w:r>
        <w:t>Mit dem g erichtsüblichen Stundenansatz von Fr. 200.-- ist die Entschädigung somit auf Fr. 2'200.-- (inkl. Barauslagen und MWSt ) festzusetzen. Das Gericht erkennt: 1.</w:t>
      </w:r>
    </w:p>
    <w:p>
      <w:r>
        <w:t>Die Klage wird im Sinne der Erwägungen abgewiesen. 2.</w:t>
      </w:r>
    </w:p>
    <w:p>
      <w:r>
        <w:t>Das Verfahren ist kostenlos. 3.</w:t>
      </w:r>
    </w:p>
    <w:p>
      <w:r>
        <w:t>Der unentgeltliche Rechtsvertreter der Klägerin, Rechtsanwalt Dr. Peter Stadler, Zürich, wird mit Fr. 2'200 .-- (inkl. Barauslagen und MWSt ) aus der Gerichtskasse ent schädigt. Die Klägerin wird auf § 16 Abs. 4 GSVGer hingewiesen. 4.</w:t>
      </w:r>
    </w:p>
    <w:p>
      <w:r>
        <w:t>Zustellung gegen Empfangsschein an: - Rechtsanwalt Dr. Peter Stadler - Sammelstiftung BVG der Allianz Suisse Lebensversicherungs-Gesellschaft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