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BV.2011.00092 vom 22. April 2013</w:t>
      </w:r>
    </w:p>
    <w:p>
      <w:r>
        <w:t>ZH Sozialversicherungsgericht, 2013-04-22, DE</w:t>
      </w:r>
    </w:p>
    <w:p>
      <w:r>
        <w:rPr>
          <w:b/>
        </w:rPr>
        <w:t xml:space="preserve">Quelle: </w:t>
      </w:r>
      <w:r>
        <w:t>https://mcp.opencaselaw.ch/entscheid/zh_sozialversicherungsgericht_BV.2011.00092</w:t>
      </w:r>
    </w:p>
    <w:p>
      <w:r>
        <w:t>FR: ZH_SOZIALVERSICHERUNGSGERICHT BV.2011.00092 du 22 avril 2013</w:t>
      </w:r>
    </w:p>
    <w:p>
      <w:r>
        <w:t>IT: ZH_SOZIALVERSICHERUNGSGERICHT BV.2011.00092 del 22 aprile 2013</w:t>
      </w:r>
    </w:p>
    <w:p>
      <w:pPr>
        <w:pStyle w:val="Heading2"/>
      </w:pPr>
      <w:r>
        <w:t>Erwägungen</w:t>
      </w:r>
    </w:p>
    <w:p>
      <w:r>
        <w:rPr>
          <w:b/>
        </w:rPr>
        <w:t>E. 2</w:t>
      </w:r>
    </w:p>
    <w:p>
      <w:r>
        <w:t>Â Â Â Â Â  Am 9. Dezember 2011 erhob X.___ durch Advokatin Hanna Kirchhofer, A.___, gegen die Y.___ Klage mit folgendem Rechtsbegehren (Urk. 1 S. 2):</w:t>
      </w:r>
    </w:p>
    <w:p>
      <w:r>
        <w:t>Â1.Â  Es sei die Beklagte zu verurteilen, die KlÃ¤gerin bei der Z.___ fÃ¼r das Anstellungsjahr 2011 zu versichern und die gesetzlichen BeitrÃ¤ge auszurichten.</w:t>
      </w:r>
    </w:p>
    <w:p>
      <w:r>
        <w:t>2.Â Â  Unter Kosten- und EntschÃ¤digungsfolge zu Lasten der Beklagten.Â</w:t>
      </w:r>
    </w:p>
    <w:p>
      <w:r>
        <w:t>Â Â Â Â Â Â Â Â  Im Weiteren liess die KlÃ¤gerin beantragen, es sei Ziffer 1 ihres Rechtsbegehrens superprovisorisch ohne vorgÃ¤ngige AnhÃ¶rung der Beklagten bzw. evtl. nach AnhÃ¶rung der Beklagten im Sinne einer vorsorglichen Massnahme anzuordnen. Mit Beschluss vom 14. Dezember 2011 wies das Gericht das Begehren um Anordnung vorsorglicher Massnahmen ab (Urk. 4). Die Beklagte liess sich in der Folge nicht zur Klage vernehmen. Am 14. Februar 2012 wurde die Z.___ zum Prozess beigeladen (Urk. 6). Diese liess am 15. Juni 2012 zur Klage Stellung nehmen, wobei sie deren vollumfÃ¤ngliche Abweisung beantragte (Urk. 15). Mit Replik vom 7. September 2012 hielt die KlÃ¤gerin - neu vertreten durch RechtsanwÃ¤ltin Dr. Elisabeth GlÃ¤ttli, Winterthur - an ihren AntrÃ¤gen fest (Urk. 24). WÃ¤hrend die Beklagte wiederum keine Stellungnahme einreichte, ersuchte die Beigeladene am 23. Oktober 2012 abermals um Abweisung der Klage (Urk. 29).</w:t>
      </w:r>
    </w:p>
    <w:p>
      <w:r>
        <w:t>3.Â Â Â Â Â Â  Auf die Vorbringen der Parteien und die eingereichten Akten wird, soweit erforderlich, in den nachfolgenden ErwÃ¤gungen eingegangen.</w:t>
      </w:r>
    </w:p>
    <w:p>
      <w:r>
        <w:t>Das Gericht zieht in ErwÃ¤gung:</w:t>
      </w:r>
    </w:p>
    <w:p>
      <w:r>
        <w:t>1.</w:t>
      </w:r>
    </w:p>
    <w:p>
      <w:r>
        <w:t>1.1Â Â Â Â  GemÃ¤ss Art. 2 Abs. 1 des Bundesgesetzes Ã¼ber die berufliche Alters-, Hinterlassenen- und Invalidenvorsorge (BVG) in Verbindung mit Art. 5 der Verordnung Ã¼ber die berufliche Alters-, Hinterlassenen- und Invalidenvorsorge (BVV 2) in der im Jahre 2011 gÃ¼ltig gewesenen Fassung unterstehen Arbeitnehmer, die das 17. Altersjahr Ã¼berschritten haben und bei einem Arbeitgeber einen Jahreslohn von mehr als 20Â880 Franken beziehen, der obligatorischen Versicherung.</w:t>
      </w:r>
    </w:p>
    <w:p>
      <w:r>
        <w:t>1.2Â Â Â Â  Das BVG basiert auf dem Prinzip der Vorausdeklaration. Bereits im Zeitpunkt des Stellenantritts oder unmittelbar danach muss bestimmt werden kÃ¶nnen, ob jemand Ã¼berhaupt der obligatorischen Versicherung unterliegt. Eine definitive Veranlagung aufgrund des nachtrÃ¤glich festgestellten Jahreseinkommens findet nicht statt, dies im Unterschied etwa zur AHV und Unfallversicherung (vgl. Hans-Ulrich Stauffer, Berufliche Vorsorge, ZÃ¼rich/Basel/Genf 2012, 2. Auflage, S. 208, Rz. 564). Die Versicherungspflicht kann aber nicht dadurch umgangen werden, dass der Arbeitgeber anfangs Jahr ein mutmassliches Einkommen meldet, dass unter dem Mindestlohn liegt (vgl. Urteil des Bundesgerichts i.S. P. vom 27. Oktober 2008, 9C_139/2008 und 9C_184/2008, E. 4).</w:t>
      </w:r>
    </w:p>
    <w:p>
      <w:r>
        <w:t>1.3Â Â Â Â  Laut Art. 7 Abs. 2 BVG hat der massgebende Jahreslohn der beruflichen Vorsorge dem massgebenden Lohn nach dem Bundesgesetz Ã¼ber die Alters- und Hinterlassenenversicherung (AHVG) zu entsprechen. Der Bundesrat kann jedoch Abweichungen zulassen. Die vom Bundesrat gestÃ¼tzt auf diese Bestimmung erlassene Vorschrift von Art. 3 Abs. 1 BVV 2 gibt den Vorsorgeeinrichtungen das Recht, Lohnbestandteile wegzulassen, die nur gelegentlich anfallen (lit. a), den koordinierten Jahreslohn zum voraus aufgrund des letzten bekannten Jahreslohnes zu bestimmen, wobei sie fÃ¼r das laufende Jahr bereits vereinbarte Ãnderungen berÃ¼cksichtigen muss (lit. b), und bei Berufen, in denen der BeschÃ¤ftigungsgrad oder die EinkommenshÃ¶he stark schwanken, die koordinierten LÃ¶hne pauschal nach dem Durchschnittseinkommen der jeweiligen Berufsgruppe festzusetzen (lit. c).</w:t>
      </w:r>
    </w:p>
    <w:p>
      <w:r>
        <w:t>Â Â Â Â Â Â Â Â  Macht eine Vorsorgeeinrichtung von der sogenannten PrÃ¤numerando-Festsetzung des koordinierten Lohnes im Sinne von Art. 3 Abs. 1 lit. b BVV 2 Gebrauch, so entspricht der versicherte (koordinierte) Jahreslohn nicht zwangslÃ¤ufig dem wÃ¤hrend des Versicherungsjahres tatsÃ¤chlich ausgerichteten massgebenden AHV-Lohn. Vielmehr gilt der koordinierte Lohn auch dann unverÃ¤ndert weiter, wenn wÃ¤hrend des laufenden Versicherungsjahres der massgebende AHV-Lohn erhÃ¶ht oder reduziert wird. Eine Anpassung an die tatsÃ¤chlichen und fÃ¼r die AHV massgebenden LohnverhÃ¤ltnisse erfolgt diesfalls erst wieder im Folgejahr (Urteil des Bundesgerichts 9C_115/2008, 9C_134/2008 vom 23. Juli 2008 E. 4.3 sowie Urteil des damaligen EidgenÃ¶ssischen Versicherungsgerichts B 21/02 vom 11. Dezember 2002 E. 4.1.2, auszugsweise publiziert in SZS 2003, 500).</w:t>
      </w:r>
    </w:p>
    <w:p>
      <w:r>
        <w:t>1.4Â Â Â Â  Dem Problem von ArbeitsverhÃ¤ltnissen mit schwankenden BeschÃ¤ftigungsgraden wird sodann dadurch Rechnung getragen, dass die Vorsorgeeinrichtung bei der Bestimmung des koordinierten Lohnes vom Jahreslohn abweichen und dafÃ¼r auf den fÃ¼r eine bestimmte Zahlungsperiode ausgerichteten Lohn abstellen kann. Sinkt der Lohn vorÃ¼bergehend unter den gesetzlichen Mindestbeitrag, so bleibt der Arbeitnehmer dennoch der obligatorischen Versicherung unterstellt (Art. 3 Abs. 2 BVV 2). Bei den im Stundenlohn beschÃ¤ftigten Arbeitnehmern, die nicht stets die gleiche Monatsstundenzahl aufweisen und deren Lohn monatlich ausbezahlt wird, muss nicht eine Koordination nach Tagen, sondern kann monatlich vorgenommen werden (SZS 1991 S. 34 ff. E. 4).</w:t>
      </w:r>
    </w:p>
    <w:p>
      <w:r>
        <w:t>1.5Â Â Â Â  GemÃ¤ss Art. 1 Ziff. 1 des Reglements 2011 der Beigeladenen (Urk. 16/6) ist der Beitritt zur Kasse fÃ¼r alle Arbeitnehmer mit unbefristetem ArbeitsverhÃ¤ltnis obligatorisch. Nicht in die Kasse aufgenommen werden unter anderem Arbeitnehmer, deren massgebender Jahreslohn (Art. 7) die Eintrittsschwelle (gemÃ¤ss Anhang des Reglements) nicht erreicht (Art. 1 Ziff. 3 lit. b des Reglements).</w:t>
      </w:r>
    </w:p>
    <w:p>
      <w:r>
        <w:t>Â Â Â Â Â Â Â Â  FÃ¼r Arbeitnehmer, deren Jahreslohn gemÃ¤ss Art. 7 die Eintrittsschwelle nicht erreicht, erfolgt die Mitgliedschaft zur Kasse am ersten Tag jenes Monats, ab welchem der Jahreslohn gemÃ¤ss Art. 7 diese Eintrittsschwelle erreicht (Art. 2 Ziff. 4 des Reglements).</w:t>
      </w:r>
    </w:p>
    <w:p>
      <w:r>
        <w:t>Â Â Â Â Â Â Â Â  Der beitragspflichtige Jahreslohn entspricht dem 13-fachen Monatslohn, zuzÃ¼glich eines Anteils des Leistungslohnes gemÃ¤ss Anhang ÂLeistungslohnÂ abzÃ¼glich des Koordinationsabzuges (AnhÃ¤nge A - Z). Er wird fÃ¼r jeden Versicherten beim Eintritt festgelegt und anschliessend jeweils per 1. Januar Ã¼berprÃ¼ft. Bei unterjÃ¤hrigen Ãnderungen des BeschÃ¤ftigungsgrades bzw. des Jahreslohnes wird der beitragspflichtige Jahreslohn auf den 1. des Monats, in welchem die Ãnderung erfolgt, neu festgelegt. FÃ¼r teilzeitbeschÃ¤ftigte Versicherte wird der Koordinationsbetrag im VerhÃ¤ltnis zum BeschÃ¤ftigungsgrad herabgesetzt (Art. 7 Ziff. 1 des Reglements). Sinkt der Lohn eines Arbeitnehmers vorÃ¼bergehend als Folge von Krankheit, Unfall, Arbeitslosigkeit oder Ã¤hnlichen UmstÃ¤nden, so wird der beitragspflichtige Lohn mindestens wÃ¤hrend der gesetzlichen Lohnfortzahlungspflicht des Arbeitgebers gemÃ¤ss Artikel 324a des Obligationenrechts aufrechterhalten, sofern der Versicherte keine Herabsetzung verlangt (Art. 7 Ziff. 3 des Reglements).</w:t>
      </w:r>
    </w:p>
    <w:p>
      <w:r>
        <w:t>Â Â Â Â Â Â Â Â  Im Anhang des Reglements wird die Eintrittsschwelle im Sinne von Art. 1 und 2 des Reglements auf 75 % des maximalen AHV-Rente (Stand 1.1.2011: 20Â880 Franken) festgelegt.</w:t>
      </w:r>
    </w:p>
    <w:p>
      <w:r>
        <w:t>2.Â Â Â Â Â Â  Strittig ist die Frage, ob die Beigeladene in ihrem Reglement festgelegt hat, dass der versicherte Jahreslohn zum voraus aufgrund des von der Arbeitgeberin gemeldeten letzten Jahreslohnes festzusetzen ist. Die Beigeladene sieht in Art. 7 Ziff. 1 ihres Reglements eine Grundlage fÃ¼r diese Vorgehensweise. Die KlÃ¤gerin bestreitet dagegen, dass Art. 7 Ziff. 1 des Reglements eine explizite Regelung zur PrÃ¤numerando-Festsetzung des massgebenden Jahreslohnes darstelle. Ausserdem sei in Art. 2 Ziff. 4 des Reglements gerade der Fall geregelt, dass eine Aufnahme in die Versicherung zu erfolgen habe, wenn im Verlauf eines Jahres die Eintrittsschwelle erreicht werde.</w:t>
      </w:r>
    </w:p>
    <w:p>
      <w:r>
        <w:rPr>
          <w:b/>
        </w:rPr>
        <w:t>E. 3</w:t>
      </w:r>
    </w:p>
    <w:p>
      <w:r>
        <w:t>3.1Â Â Â Â  Es ist Ã¼bereinstimmend mit der KlÃ¤gerin festzuhalten, dass Art. 7 Ziff. 1 des Reglements der KlÃ¤gerin keine eindeutige Regelung im Sinne von Art. 3 Abs. 1 lit. b BVV 2 enthÃ¤lt. Es wird lediglich gesagt, dass der Jahreslohn per 1. Januar zu Ã¼berprÃ¼fen sei. Ãber die Konsequenzen dieser PrÃ¼fung schweigt sich das Reglement dagegen aus. Es schreibt zwar vor, dass jeweils per 1. Januar eine PrÃ¼fung vorzunehmen ist, es ist dem Reglement aber nicht zu entnehmen, dass der Jahreslohn ausschliesslich am 1. Januar zu Ã¼berprÃ¼fen und dann im voraus fÃ¼r das ganze Jahr festzulegen wÃ¤re. Vielmehr enthÃ¤lt das Reglement ausdrÃ¼ckliche Bestimmungen, wonach unterjÃ¤hrige Ãnderungen des BeschÃ¤ftigungsgrades oder des Jahreslohnes zu berÃ¼cksichtigen und somit also auch unter dem Jahr PrÃ¼fungen des Jahreslohnes vorzunehmen sind (Art. 2 Ziff. 4, Art. 7 Ziff. 3). Im Reglement ist ausserdem auch keine Bestimmung zu finden, wonach der Jahreslohn fÃ¼r das laufende Jahr aufgrund des letzten Jahreslohnes festzusetzen ist, wobei zu erwÃ¤hnen ist, dass dies nur unter BerÃ¼cksichtigung der bereits vereinbarten Ãnderungen zulÃ¤ssig ist.</w:t>
      </w:r>
    </w:p>
    <w:p>
      <w:r>
        <w:t>3.2Â Â Â Â  Im vorliegenden Fall dauerte das ArbeitsverhÃ¤ltnis zwischen den Parteien bereits vier Jahre und die KlÃ¤gerin unterstand bis Ende 2010 unstrittig der Versicherung bei der Beigeladenen. Der von der Beklagten gemeldete Jahreslohn von Fr. 20Â548.50 hatte zur Folge, dass die KlÃ¤gerin die per 1. Januar 2011 teuerungsbedingt erhÃ¶hte Eintrittsschwelle nicht mehr erreichte und damit plÃ¶tzlich - ohne dass sich am ArbeitsverhÃ¤ltnis etwas geÃ¤ndert hat - nicht mehr der Versicherung bei der Beigeladenen unterlag. Damit diese Konsequenz eintreten kann, bedarf es einer eindeutigen reglementarischen Grundlage. Eine solche ist vorliegend nicht gegeben, vielmehr sieht Art. 2 Ziff. 4 des Reglements im Gegenteil ausdrÃ¼cklich vor, dass eine Aufnahme in die Versicherung ab dem Monat zu erfolgen hat, ab welchem die Eintrittsschwelle erreicht wird.</w:t>
      </w:r>
    </w:p>
    <w:p>
      <w:r>
        <w:t>4.Â Â Â Â Â Â  Nachdem die KlÃ¤gerin im Jahr 2011 einen AHV-beitragspflichtigen Lohn von Fr. 21Â267.-- erzielt hat (vgl. Urk. 25/1), welcher Ã¼ber der gesetzlichen und reglementarischen Eintrittsschwelle liegt und es an einer reglementarischen Grundlage zur PrÃ¤numerando-Festsetzung der versicherten Verdienstes fehlt, ist die KlÃ¤gerin in Gutheissung der Klage zu verpflichten, die KlÃ¤gerin bei der Beigeladenen fÃ¼r das Jahr 2011 zu versichern und die entsprechenden BeitrÃ¤ge zu bezahlen. Da die Beigeladene in ihrem Reglement auch nicht von der Befugnis nach Art. 3 Abs. 2 BVV 2 Gebrauch gemacht hat, bei der Bestimmung des koordinierten Lohnes vom Jahreslohn abzuweichen und dafÃ¼r auf den fÃ¼r eine bestimmte Zahlungsperiode ausgerichteten Lohn abzustellen (vgl. E. 1.4), sind die BeitrÃ¤ge nach Massgabe des ausgerichteten Jahreslohnes zu bezahlen.Â</w:t>
      </w:r>
    </w:p>
    <w:p>
      <w:r>
        <w:t>Â Â Â Â Â Â Â Â  Bei dieser Sach- und Rechtslage kann offen bleiben, ob eine PrÃ¤numerando-Festlegung des koordinierten Lohnes nach Art. 3 Abs. 1 lit. b BVV 2 bei im Stundenlohn entschÃ¤digten Arbeitnehmenden Ã¼berhaupt gesetzeskonform im Sinne von Art. 2 Abs. 1 BVG ist, soweit sie dazu fÃ¼hrt, dass Arbeitnehmende (auch nachtrÃ¤glich) nicht versichert werden, obwohl der Gesamtlohn eines Kalenderjahres den Schwellenwert Ã¼bersteigt (vgl. E. 1.2). Eine PrÃ¤numerando-Festlegung des koordinierten Lohnes bei einer EntschÃ¤digung im Stundenlohn, welche auf unregelmÃ¤ssige, nicht im Voraus abschÃ¤tzbare Arbeitszeiten zugeschnitten ist, erscheint nÃ¤mlich als Widerspruch in sich und kÃ¶nnte, sofern sie ohne EinschrÃ¤nkung als zulÃ¤ssig erachtet wÃ¼rde, besonders gut dazu dienen, entgegen der ratio legis die Versicherungspflicht zu umgehen.</w:t>
      </w:r>
    </w:p>
    <w:p>
      <w:r>
        <w:t>5.Â Â Â Â Â Â  Nach Â§ 34 Abs. 1 des Gesetzes Ã¼ber das Sozialversicherungsgericht (GSVGer) hat die obsiegende Partei auf entsprechenden Antrag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1Â600.-- (inkl. MWSt und Barauslagen) angemessen. Diese ist je zur HÃ¤lfte der Beklagten und der Beigeladenen aufzuerlegen.</w:t>
      </w:r>
    </w:p>
    <w:p>
      <w:r>
        <w:t>Das Gericht erkennt:</w:t>
      </w:r>
    </w:p>
    <w:p>
      <w:r>
        <w:t>1.Â Â Â Â Â Â Â Â  In Gutheissung der Klage wird die Beklagte verpflichtet, die KlÃ¤gerin bei der Beigeladenen fÃ¼r das Jahr 2011 zu versichern und die entsprechenden BeitrÃ¤ge zu bezahlen.</w:t>
      </w:r>
    </w:p>
    <w:p>
      <w:r>
        <w:t>2.Â Â Â Â Â Â Â Â  Das Verfahren ist kostenlos.</w:t>
      </w:r>
    </w:p>
    <w:p>
      <w:r>
        <w:t>3.Â Â Â Â Â Â Â Â  Die Beklagte und die Beigeladene werden verpflichtet, der KlÃ¤gerin eine ProzessentschÃ¤digung von je Fr. 800.-- (inkl. Barauslagen und MWSt) zu bezahlen.</w:t>
      </w:r>
    </w:p>
    <w:p>
      <w:r>
        <w:t>4.Â Â Â Â Â Â Â Â  Zustellung gegen Empfangsschein an:</w:t>
      </w:r>
    </w:p>
    <w:p>
      <w:r>
        <w:t>- RechtsanwÃ¤ltin Dr. Elisabeth GlÃ¤ttli</w:t>
      </w:r>
    </w:p>
    <w:p>
      <w:r>
        <w:t>- Y.___</w:t>
      </w:r>
    </w:p>
    <w:p>
      <w:r>
        <w:t>- Rechtsanwalt LL.M. Dr. Kurt C. Schweizer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