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BV.2011.00071 vom 18. Dezember 2012</w:t>
      </w:r>
    </w:p>
    <w:p>
      <w:r>
        <w:t>ZH Sozialversicherungsgericht, 2012-12-18, DE</w:t>
      </w:r>
    </w:p>
    <w:p>
      <w:r>
        <w:rPr>
          <w:b/>
        </w:rPr>
        <w:t xml:space="preserve">Quelle: </w:t>
      </w:r>
      <w:r>
        <w:t>https://mcp.opencaselaw.ch/entscheid/zh_sozialversicherungsgericht_BV.2011.00071</w:t>
      </w:r>
    </w:p>
    <w:p>
      <w:r>
        <w:t>FR: ZH_SOZIALVERSICHERUNGSGERICHT BV.2011.00071 du 18 décembre 2012</w:t>
      </w:r>
    </w:p>
    <w:p>
      <w:r>
        <w:t>IT: ZH_SOZIALVERSICHERUNGSGERICHT BV.2011.00071 del 18 dicembre 2012</w:t>
      </w:r>
    </w:p>
    <w:p>
      <w:pPr>
        <w:pStyle w:val="Heading2"/>
      </w:pPr>
      <w:r>
        <w:t>Erwägungen</w:t>
      </w:r>
    </w:p>
    <w:p>
      <w:r>
        <w:rPr>
          <w:b/>
        </w:rPr>
        <w:t>E. 4</w:t>
      </w:r>
    </w:p>
    <w:p>
      <w:r>
        <w:t>4.1Â Â Â Â  Der Einzelrichter des Bezirksgerichts Z.___ meldete mit der VerfÃ¼gung vom 15. September 2011 (Urk. 1/1) alle notwendigen Eckdaten fÃ¼r die Teilung der Austrittsleistung. Nach Vorliegen der aktualisierten Angaben der Sammelstiftung BVG der Allianz Suisse Lebensversicherungs-Gesellschaft vom 18. Oktober 2011, nach denen die wÃ¤hrend der Ehe erworbene Austrittsleistung per 25. August 2011 Fr. 162Â531.- betrug und die Teilung durchfÃ¼hrbar ist (Urk. 7-8), sind die Angaben vollstÃ¤ndig. Da die Scheidungsparteien im vorliegenden Verfahren keine AntrÃ¤ge stellten und sich aus den Akten keine Hinweise auf Unstimmigkeiten ergeben, ist von der Richtigkeit und VollstÃ¤ndigkeit dieser Angaben auszugehen.</w:t>
      </w:r>
    </w:p>
    <w:p>
      <w:r>
        <w:t>4.2Â Â Â Â  Die Ehe war vor dem 1. Januar 1995 geschlossen worden. Die Voraussetzungen zur annÃ¤herungsweisen Berechnung einer bei der Eheschliessung erworbenen Austrittsleistung nach Art. 22a Abs. 2 FZG sind vorliegend jedoch nicht erfÃ¼llt. Denn weder wurde behauptet noch bestehen Anhaltspunkte, dass Y.___ vor der Heirat bereits einer Vorsorgeeinrichtung angehÃ¶rt hÃ¤tte (vgl. Schreiben der FreizÃ¼gigkeitsstiftung der ZÃ¼rcher Kantonalbank vom 22. MÃ¤rz 2011; Urk. 12/2/98). Folglich ist mit der Sammelstiftung BVG der Allianz Suisse Lebensversicherungs-Gesellschaft davon auszugehen, dass das bei dieser vorhandene und gemÃ¤ss Scheidungsurteil hÃ¤lftig zu teilende Guthaben von Y.___ in der HÃ¶he von Fr. 162Â531.- ausschliesslich wÃ¤hrend der Ehe geÃ¤ufnet wurde. Dieses unterliegt daher vollumfÃ¤nglich dem Ausgleich (vgl. Stauffer, Berufliche Vorsorge, ZÃ¼rich 2005, Rz 1219 S. 455).</w:t>
      </w:r>
    </w:p>
    <w:p>
      <w:r>
        <w:t>4.3Â Â Â Â  Damit hat X.___ Anspruch auf Fr. 81Â265.50 (Fr. 162Â531.- : 2) aus dem Vorsorgeguthaben von Y.___. Dessen Vorsorgeeinrichtung, die Sammelstiftung BVG der Allianz Suisse Lebensversicherungsgesellschaft, ist demnach zu verpflichten, zulasten ihres Versicherten Y.___ der AXA Stiftung Berufliche Vorsorge, Winterthur, den Betrag von Fr. 81Â265.50 zugunsten von X.___ (Versicherungsnummer 780.59.686.258) zu Ã¼berweisen.</w:t>
      </w:r>
    </w:p>
    <w:p>
      <w:r>
        <w:rPr>
          <w:b/>
        </w:rPr>
        <w:t>E. 5</w:t>
      </w:r>
    </w:p>
    <w:p>
      <w:r>
        <w:t>5.1Â Â Â Â  GemÃ¤ss der in BGE 129 V 255 ff. Erw. 3 dargelegten Rechtsprechung ist die einem ausgleichsberechtigten Ehegatten im Falle der Scheidung zustehende Austrittsleistung (Art. 122 Abs. 1 ZGB und Art. 22-22c FZG) vom massgebenden Stichtag der Teilung - d.h. dem Zeitpunkt der formellen Rechtskraft des Scheidungsurteils (BGE 132 V 239 E. 2.3) - an bis zum Zeitpunkt der Ãberweisung oder des Beginns der Verzugszinspflicht zu verzinsen. Dabei hat die Vorsorgeeinrichtung fÃ¼r den Bereich des Obligatoriums auf der Austrittsleistung den Mindestzinssatz von Art. 12 BVV 2 (lit. f: 2,0 % ab 1. Januar 2009) oder den allenfalls hÃ¶heren reglementarischen Zins zu vergÃ¼ten. UmhÃ¼llende Leistungs- oder Beitragsprimatkassen haben die Austrittsleistung mit dem reglementarischen Zinssatz zu verzinsen, sofern damit im Rahmen der so genannten Schattenrechnung dem BVG-Mindestzinssatz GenÃ¼ge getan wird. FÃ¼r nur in der weitergehenden Vorsorge tÃ¤tige Vorsorgeeinrichtungen gilt ebenfalls in erster Linie der reglementarische Zinssatz. Sieht in diesen beiden FÃ¤llen das Reglement keinen Zinssatz vor, so rechtfertigt es sich, subsidiÃ¤r den in Art. 12 BVV 2 vorgesehenen Mindestzinssatz anzuwenden. Dieses Vorgehen ist angezeigt, da Art. 8a der FreizÃ¼gigkeitsverordnung (FZV) bei der Teilung der Austrittsleistung infolge Scheidung ebenfalls auf den im entsprechenden Zeitraum gÃ¼ltigen Zinssatz nach Art. 12 BVV 2 greift (BGE 129 V 257 E. 4.1).</w:t>
      </w:r>
    </w:p>
    <w:p>
      <w:r>
        <w:t>Â Â Â Â Â Â Â Â  Art. 2 Abs. 4 FZG statuiert fÃ¼r den Fall, dass die Vorsorgeeinrichtung die fÃ¤llige Austrittsleistung nicht innert 30 Tagen, nachdem sie die notwendigen Angaben erhalten hat, Ã¼berweist, ab Ende dieser Frist eine Verzugszinspflicht. In betraglicher Hinsicht ist der Verzugszins auf der Austrittsleistung samt dem reglementarischen oder gesetzlichen Zins bis zum Zeitpunkt des Beginns der Verzugszinspflicht zu bezahlen (BGE 129 V 258 E. 4.2.3). Der Verzugszinssatz entspricht gemÃ¤ss Art. 26 Abs. 2 FZG in Verbindung mit Art. 7 FZV dem BVG-Mindestsatz (Art. 12 BVV 2) plus ein Prozent. Art. 65d Abs. 4 BVG ist nicht anwendbar (vgl. Urteil des EidgenÃ¶ssischen Versicherungsgerichts vom 6. Juni 2006 in Sachen S., B 17/06).</w:t>
      </w:r>
    </w:p>
    <w:p>
      <w:r>
        <w:t>5.2Â Â Â Â  Aus diesen ErwÃ¤gungen folgt, dass die Sammelstiftung BVG der Allianz Suisse Lebensversicherungs-Gesellschaft auf der der KlÃ¤gerin geschuldeten Austrittsleistung ab 25. August 2011 einen Zins in reglementarischer oder gesetzlicher (Mindest-)HÃ¶he (vgl. Art. 12 lit. f BVV 2) bis zum Zeitpunkt der Ãberweisung zu entrichten hat. Ab dem 31. Tag nach Vorlage aller fÃ¼r die Ãberweisung der Austrittsleistung erforderlichen Angaben wÃ¤re ein Verzugszins von 3,0 % (vgl. Art. 7 FZV in Verbindung mit Art. 12 lit. f BVV 2) zu bezahlen.</w:t>
      </w:r>
    </w:p>
    <w:p>
      <w:r>
        <w:t>Das Gericht erkennt:</w:t>
      </w:r>
    </w:p>
    <w:p>
      <w:r>
        <w:t>1.Â Â Â Â Â Â Â Â  Die Sammelstiftung BVG der Allianz Suisse Lebensversicherungs-Gesellschaft wird verpflichtet, den Betrag von Fr. 81Â265.50 zulasten des Kontos des Beklagten 1 (Y.___) auf das Vorsorgekonto der KlÃ¤gerin bei der AXA Stiftung Berufliche Vorsorge (Versicherungsnummer 780.59.686.258, X.___) zuzÃ¼glich Zinsen seit 25. August 2011 zu Ã¼berweisen.</w:t>
      </w:r>
    </w:p>
    <w:p>
      <w:r>
        <w:t>2.Â Â Â Â Â Â Â Â  Das Verfahren ist kostenlos.</w:t>
      </w:r>
    </w:p>
    <w:p>
      <w:r>
        <w:t>3.Â Â Â Â Â Â Â Â  Zustellung gegen Empfangsschein an:</w:t>
      </w:r>
    </w:p>
    <w:p>
      <w:r>
        <w:t>- Rechtsanwalt Carmine Baselice</w:t>
      </w:r>
    </w:p>
    <w:p>
      <w:r>
        <w:t>- Rechtsanwalt Marino Di Rocco</w:t>
      </w:r>
    </w:p>
    <w:p>
      <w:r>
        <w:t>- AXA Stiftung Berufliche Vorsorge Winterthur</w:t>
      </w:r>
    </w:p>
    <w:p>
      <w:r>
        <w:t>- Sammelstiftung BVG der Allianz Suisse Lebensversicherungs-Gesellschaft</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