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BV.2011.00057 vom 11. März 2013</w:t>
      </w:r>
    </w:p>
    <w:p>
      <w:r>
        <w:t>ZH Sozialversicherungsgericht, 2013-03-11, DE</w:t>
      </w:r>
    </w:p>
    <w:p>
      <w:r>
        <w:rPr>
          <w:b/>
        </w:rPr>
        <w:t xml:space="preserve">Quelle: </w:t>
      </w:r>
      <w:r>
        <w:t>https://mcp.opencaselaw.ch/entscheid/zh_sozialversicherungsgericht_BV.2011.00057</w:t>
      </w:r>
    </w:p>
    <w:p>
      <w:r>
        <w:t>FR: ZH_SOZIALVERSICHERUNGSGERICHT BV.2011.00057 du 11 mars 2013</w:t>
      </w:r>
    </w:p>
    <w:p>
      <w:r>
        <w:t>IT: ZH_SOZIALVERSICHERUNGSGERICHT BV.2011.00057 del 11 marzo 2013</w:t>
      </w:r>
    </w:p>
    <w:p>
      <w:pPr>
        <w:pStyle w:val="Heading2"/>
      </w:pPr>
      <w:r>
        <w:t>Erwägungen</w:t>
      </w:r>
    </w:p>
    <w:p>
      <w:r>
        <w:rPr>
          <w:b/>
        </w:rPr>
        <w:t>E. 1</w:t>
      </w:r>
    </w:p>
    <w:p>
      <w:r>
        <w:t>1.1Â Â Â Â  Laut Art. 68 Abs. 1 der Schweizerischen Zivilprozessordnung (ZPO) in Verbindung mit Â§ 28 lit. a des Gesetzes Ã¼ber das Sozialversicherungsgericht (GSVGer) kann sich jede prozessfÃ¤hige Partei im Prozess vertreten lassen. FÃ¼r die berufsmÃ¤ssige Vertretung vor dem Sozialversicherungsgericht braucht es keinen FÃ¤higkeitsausweis im Sinne des Anwaltsrechts (e contrario Â§ 11 des Anwaltsgesetzes). Dies gilt insbesondere auch im Klageverfahren im Bereich der beruflichen Vorsorge (Randacher: in Gesetz Ã¼ber das Sozialversicherungsgericht des Kantons ZÃ¼rich, 2. Aufl. 2009, N 3 zu Â§ 15 GSVGer).</w:t>
      </w:r>
    </w:p>
    <w:p>
      <w:r>
        <w:t>1.2Â Â Â Â  Die Vertretung durch juristische Personen ist am hiesigen Gericht nicht unÃ¼blich. Auch wenn die Vertreterin der Beklagten gleichzeitig als Revisorin der KlÃ¤gerin amtete (Urk. 18 Ziff. 9), ist gegen sie als Vertreterin der Beklagten nichts einzuwenden, zumal die KlÃ¤gerin nicht konkret geltend macht, inwieweit die Vertreterin im Rahmen des Revisionsmandats erlangtes Wissen im vorliegenden Prozess zu Ungunsten der KlÃ¤gerin einsetzten soll.</w:t>
      </w:r>
    </w:p>
    <w:p>
      <w:r>
        <w:t>2.Â Â Â Â Â Â  Die VerjÃ¤hrungseinrede (Urk. 10 S. 34) ist vorab zu prÃ¼fen:</w:t>
      </w:r>
    </w:p>
    <w:p>
      <w:r>
        <w:t>2.1Â Â Â Â  GemÃ¤ss Art. 41 Abs. 2 Bundesgesetzes Ã¼ber die berufliche Alters-, Hinterlassenen- und Invalidenvorsorge (BVG) verjÃ¤hren Forderungen auf periodischen BeitrÃ¤gen und Leistungen nach fÃ¼nf, andere nach zehn Jahren. Die Artikel 129 - 142 des Schweizerischen Obligationenrechts (OR) sind anwendbar.</w:t>
      </w:r>
    </w:p>
    <w:p>
      <w:r>
        <w:t>2.2Â Â Â Â  Laut Art. 9 GAV FAR schuldet der Arbeitgeber die gesamten BeitrÃ¤ge von Arbeitgeber und Arbeitnehmer (Abs. 1). Der Arbeitgeber hat vierteljÃ¤hrlich Akontozahlungen abzuliefern, fÃ¤llig 30 Tage nach Rechnungsstellung, spÃ¤testens jedoch per Quartalsende (Abs. 3 Satz 1). Somit waren die eingeklagten BeitrÃ¤ge erstmals per 31. MÃ¤rz 2007 fÃ¤llig und im Zeitpunkt der Klageeinleitung vom 19. Juli 2011 (Urk. 1) noch nicht verjÃ¤hrt.</w:t>
      </w:r>
    </w:p>
    <w:p>
      <w:r>
        <w:t>3.Â Â Â Â Â Â  Streitig ist, ob die Beklagte (teilweise) dem GAV FAR untersteht, was im Rahmen einer Klage auf Bezahlung der BeitrÃ¤ge vom dafÃ¼r zustÃ¤ndigen Berufsvorsorgegericht vorfrageweise zu Ã¼berprÃ¼fen ist (Urteil des Bundesgerichts 9C_211/2008 vom 7. Mai 2008; SZS 2008 S. 487).</w:t>
      </w:r>
    </w:p>
    <w:p>
      <w:r>
        <w:rPr>
          <w:b/>
        </w:rPr>
        <w:t>E. 4</w:t>
      </w:r>
    </w:p>
    <w:p>
      <w:r>
        <w:t>4.1Â Â Â Â  Bei einem Branchen- bzw. Industrievertrag unterstehen diejenigen Arbeitnehmer dem Gesamtarbeitsvertrag (GAV), die in einem bestimmten Wirtschaftszweig tÃ¤tig sind. Die Frage, welchem Wirtschaftszweig ein Unternehmen anzurechnen ist, beantwortet sich nach der TÃ¤tigkeit, die ihm das GeprÃ¤ge gibt; entscheidend ist nicht der Handelsregistereintrag, sondern die tatsÃ¤chliche TÃ¤tigkeit. Nach dem Grundsatz der Tarifeinheit gilt der GAV fÃ¼r den ganzen Betrieb und somit auch fÃ¼r berufsfremde Arbeitnehmer, wobei regelmÃ¤ssig gewisse Funktionsstufen und besondere AnstellungsverhÃ¤ltnisse ausgenommen werden. Allerdings kann ein Unternehmen mehrere Betriebe umfassen, welche unterschiedlichen Branchen angehÃ¶ren, oder es kÃ¶nnen interhalb ein und desselben Betriebes mehrere Teile bestehen, welche eine unterschiedliche Zuordnung rechtfertigen, weil sie eine genÃ¼gende, auch nach aussen erkennbare SelbstÃ¤ndigkeit aufweisen. In diesen FÃ¤llen kÃ¶nnen dann auf die einzelnen Teile des Unternehmens unterschiedliche GesamtarbeitsvertrÃ¤ge zur Anwendung gelangen. Massgebliches Zuordnungskriterium bei einem Industrievertrag ist somit die Art der TÃ¤tigkeit, die dem Betrieb oder dem selbstÃ¤ndigen Betriebsteil - und nicht dem Unternehmen als wirtschaftlichem TrÃ¤ger allenfalls mehrerer Betriebe - das GeprÃ¤ge gibt (BGE 134 III 11 E. 2.1).</w:t>
      </w:r>
    </w:p>
    <w:p>
      <w:r>
        <w:t>4.2Â Â Â Â  GemÃ¤ss Art. 1 Abs. 1 des Bundesgesetzes Ã¼ber die AllgemeinverbindlicherklÃ¤rung von GesamtarbeitsvertrÃ¤gen (AVEG) kann der Geltungsbereich eines zwischen VerbÃ¤nden abgeschlossenen GAV auf Antrag aller Vertragsparteien durch Anordnung der zustÃ¤ndigen BehÃ¶rde auf Arbeitgeber und Arbeitnehmer des betreffenden Wirtschaftszweiges ausgedehnt werden, die am Vertrag nicht beteiligt sind. Die AllgemeinverbindlicherklÃ¤rung will einheitliche Mindestarbeitsbedingungen fÃ¼r die auf dem gleichen Markt tÃ¤tigen Unternehmen schaffen und damit verhindern, dass ein Unternehmen durch schlechtere Arbeitsbedingungen einen Wettbewerbsvorteil erlangen kann, der als unlauter gilt. Es ist bei der AllgemeinverbindlicherklÃ¤rung in verfassungskonformer Auslegung von Art. 1 Abs. 1 AVEG darauf zu achten, dass direkte Konkurrenten in ihrer Wirtschaftsfreiheit gleichmÃ¤ssig eingeschrÃ¤nkt werden und im wirtschaftlichen Wettbewerb gleich lange Spiesse erhalten. Zum selben Wirtschaftszweig sind nach der bundesgerichtlichen Rechtsprechung Betriebe zu zÃ¤hlen, die zueinander insofern in einem direkten KonkurrenzverhÃ¤ltnis stehen, als sie Erzeugnisse oder Dienstleistungen gleicher Art anbieten (BGE 134 III 11 E. 2.2).</w:t>
      </w:r>
    </w:p>
    <w:p>
      <w:r>
        <w:rPr>
          <w:b/>
        </w:rPr>
        <w:t>E. 5</w:t>
      </w:r>
    </w:p>
    <w:p>
      <w:r>
        <w:t>5.1Â Â Â Â  Die Beklagte ist unbestrittenermassen nicht Mitglied beim SBV (vgl. unter anderem Urk. 11/10 Ziff. I.3) und fÃ¤llt daher vertraglich nicht in den Geltungsbereich des GAV FAR. Sie hat sich diesem auch nicht im Sinne von Art. 2 Abs. 3 GAV FAR angeschlossen. Die Geltung des GAV FAR fÃ¼r die Beklagte kann sich daher nur aus dem AVE GAV FAR ergeben (Urteil des Bundesgerichts 9C_1033/2009 vom 30. April 2010 E. 2.2).</w:t>
      </w:r>
    </w:p>
    <w:p>
      <w:r>
        <w:t>5.2Â Â Â Â  Laut Handelsregistereintrag (Urk. 2/4) bezweckt die Beklagte den Import und Verkauf von Gas-, Ãl- und Elektro-Heizungs- und WarmwassergerÃ¤ten und regulierungstechnischen GerÃ¤ten sowie Kundendienst, technische und Energiesparberatung und Schulung von Installateuren und Heizungsfachleuten. Mit anderen Worten ist die Beklagte im Bereich Heiztechnik tÃ¤tig und nimmt in diesem Rahmen im Bereich Geothermie neben der Installation von WÃ¤rmepumpen selber Erdsondenbohrungen vor.</w:t>
      </w:r>
    </w:p>
    <w:p>
      <w:r>
        <w:t>5.3Â Â Â Â  Vorab ist die strittige Frage zu klÃ¤ren, ob die Beklagte mit den Erdsondenbohrungen Arbeiten ausfÃ¼hrt, die typischerweise einem Bereich gemÃ¤ss Art. 2 Abs. 4 lit. a bis h AVE GAV FAR und insbesondere dem Bereich ÂTiefbauÂ (Art. 2 Abs. 4 lit. a AVE GAV FAR) zuzuordnen sind.</w:t>
      </w:r>
    </w:p>
    <w:p>
      <w:r>
        <w:rPr>
          <w:b/>
        </w:rPr>
        <w:t>E. 6</w:t>
      </w:r>
    </w:p>
    <w:p>
      <w:r>
        <w:t>6.1Â Â Â Â  Bei der Auslegung von Art. 2 Abs. 4 lit. a bis h AVE GAV FAR ist zu beachten, dass diese Bestimmung normativen und nicht vertraglichen Charakter hat, da die behÃ¶rdlich angeordnete AllgemeinverbindlicherklÃ¤rung im Sinne von Art. 4 Abs. 1 AVEG die Aussenseiter, die auch gegen ihren Willen unterstellt werden kÃ¶nnen, nicht zu Verbandsmitgliedern und damit auch nicht Vertragspartnern macht. Die Unterstellung erfolgt damit hoheitlich (BGE 138 V 32).</w:t>
      </w:r>
    </w:p>
    <w:p>
      <w:r>
        <w:t>6.2Â Â Â Â  Ausgangspunkt jeder Auslegung bildet der Wortlaut der Bestimmung. Ist der Text nicht ganz klar und sind verschiedene Interpretationen mÃ¶glich, so muss nach seiner wahren Tragweite gesucht werden unter BerÃ¼cksichtigung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verÃ¤nderte UmstÃ¤nde oder ein gewandeltes RechtsverstÃ¤ndnis eine andere LÃ¶sung weniger nahelegen. Das Bundesgericht hat sich bei der Auslegung von Erlassen stets von einem Methodenpluralismus leiten lassen und nur dann allein auf das grammatische Element abgestellt, wenn sich daraus zweifelsfrei die sachlich richtige LÃ¶sung ergab (BGE 134 I 182 E. 5.1 S. 193; 134 V 1 E. 7.2 S. 5; 133 III 497 E. 4.1 S. 499).</w:t>
      </w:r>
    </w:p>
    <w:p>
      <w:r>
        <w:t>6.3Â Â Â Â  Art. 2 Abs. 1 lit. a bis i des GAV FAR weist auf die Bereiche hin, welche dem GAV FAR unterstehen, wÃ¤hrend Abs. 2 gewisse Ausnahmen von der Unterstellung auffÃ¼hrt. Die ausfÃ¼hrliche AufzÃ¤hlung des betrieblichen Geltungsbereichs ist als nicht abschliessend anzusehen, indem die gewerbliche TÃ¤tigkeit ÂinsbesondereÂ in den aufgefÃ¼hrten GeschÃ¤ftsfeldern stattfinden muss. Kurzgefasst sind dem GAV FAR sÃ¤mtliche TÃ¤tigkeiten am Rohbau unterstellt (Stefan Keller, Der flexible AltersrÃ¼cktritt im Bauhauptgewerbe, ZÃ¼rich, Bern, Genf 2008, S. 365 mit Hinweis).</w:t>
      </w:r>
    </w:p>
    <w:p>
      <w:r>
        <w:t>6.4Â Â Â Â  Die fÃ¼r den betrieblichen Geltungsbereich einschlÃ¤gige Bestimmung von Art. 2 Abs. 4 AVE GAV FAR lautet wie folgt:</w:t>
      </w:r>
    </w:p>
    <w:p>
      <w:r>
        <w:t>Â Â Â Â Â Â Â Â  "Die allgemeinverbindlich erklÃ¤rten Bestimmungen des im Anhang wiedergegebenen Gesamtarbeitsvertrages Ã¼ber den flexiblen AltersrÃ¼cktritt (GAV FAR) gelten fÃ¼r die Betriebe, Betriebsteile und selbstÃ¤ndigen Akkordanten der folgenden Bereiche:</w:t>
      </w:r>
    </w:p>
    <w:p>
      <w:r>
        <w:t>a.Â Â  Hoch-, Tief-, Untertag- und Strassenbau (einschliesslich Belagseinbau);</w:t>
      </w:r>
    </w:p>
    <w:p>
      <w:r>
        <w:t>b.Â Â  Aushub, Abbruch, Deponie- und Recyclingbetriebe;</w:t>
      </w:r>
    </w:p>
    <w:p>
      <w:r>
        <w:t>c.Â Â Â  Steinhauer- und Steinbruchgewerbe sowie PflÃ¤stereibetriebe;</w:t>
      </w:r>
    </w:p>
    <w:p>
      <w:r>
        <w:t>d.Â Â  Fassadenbau- und Fassadenisolationsbetriebe, ausgenommen Betriebe, die in der GebÃ¤udehÃ¼lle tÃ¤tig sind. Der Begriff Â«GebÃ¤udehÃ¼lleÂ» schliesst ein: geneigte DÃ¤cher, UnterdÃ¤cher, FlachdÃ¤cher und Fassadenbekleidungen (mit dazugehÃ¶rendem Unterbau und WÃ¤rmedÃ¤mmung);</w:t>
      </w:r>
    </w:p>
    <w:p>
      <w:r>
        <w:t>e.Â Â Â  Abdichtungs- und Isolationsbetriebe fÃ¼r Arbeiten an der GebÃ¤udehÃ¼lle im weiteren Sinn und analoge Arbeiten im Tief- und Untertagbereich;</w:t>
      </w:r>
    </w:p>
    <w:p>
      <w:r>
        <w:t>f.Â Â Â  Betoninjektions- und Betonsanierungsbetriebe;</w:t>
      </w:r>
    </w:p>
    <w:p>
      <w:r>
        <w:t>g.Â Â  Betriebe, die Asphaltierungen ausfÃ¼hren und UnterlagsbÃ¶den erstellen;</w:t>
      </w:r>
    </w:p>
    <w:p>
      <w:r>
        <w:t>h.Â Â  Betriebe, die gesamtbetrieblich mehrheitlich Geleisebau- und Bahnunterhaltsarbeiten ausfÃ¼hren, ausgenommen Betriebe, die Schienenschweiss- und Schienenschleifarbeiten, maschinellen Geleiseunterhalt sowie Fahrleitungs- und Stromkreislaufarbeiten ausfÃ¼hren."</w:t>
      </w:r>
    </w:p>
    <w:p>
      <w:r>
        <w:t>Â Â Â Â Â Â Â Â  Massgebliches Kriterium fÃ¼r den betrieblichen Geltungsbereich ist somit die Branche, der ein Betrieb aufgrund seiner TÃ¤tigkeiten zuzuordnen ist. Nicht ausschlaggebend ist hingegen die Art und Weise, wie die TÃ¤tigkeiten ausgefÃ¼hrt werden resp. welche Hilfsmittel dabei eingesetzt werden. Das Argument, die Angestellten der Beklagten im Bereich Erdsondenbohrungen wÃ¼rden im Wesentlichen nur Bohrmaschinen Ã¼berwachen und bedienen und somit keine von der kÃ¶rperlichen Strenge her vergleichbaren Arbeiten ausfÃ¼hren, wie sie im Bauptgewerbe anzutreffen sind (Urk. 14 f.), bzw. das Gegenteil hiervon einschliesslich des Hinweises auf die gemeinsamen Hilfsmittel bzw. AusbildungsgÃ¤nge (Urk. 18 S. 9 f. und S. 24 f.), kann daher fÃ¼r sich genommen nicht ausschlaggebendes Indiz fÃ¼r die betriebliche Nichtunterstellung bzw. Unterstellung dienen, sondern dem ist allenfalls bei der Beurteilung des persÃ¶nlichen Geltungsbereichs Rechnung zu tragen (vgl. Urteil des Bundesgerichts 9C_37&amp;2012 E. 2.6.1).</w:t>
      </w:r>
    </w:p>
    <w:p>
      <w:r>
        <w:t>Â Â Â Â Â Â Â Â  Nach Art. 2 Abs. 4 des AVE GAV FAR gelten die allgemeinverbindlich erklÃ¤rten Bestimmungen des im Anhang wiedergegebenen GAV FAR fÃ¼r die Betriebe, Betriebsteile und selbstÃ¤ndigen Akkordanten der in lit. a bis h. aufgefÃ¼hrten Bereiche. Das Wort ÂinsbesondereÂ fehlt hier, weshalb von einer abschliessenden AufzÃ¤hlung auszugehen ist. Die in lit. a bis h des AVE GAV FAR aufgefÃ¼hrten Bereiche stimmen mit Ausnahme des fehlenden, hier nicht interessierenden Zimmereigewerbes (lit. c GAV FAR) sowie textlichen Abweichungen in lit. b (Recyclingbetriebe usw.) und f (lit. g GAV FAR: Betoninjektions- und Betonsanierungsbetriebe, Betonbohr und Betonschneideunternehmen) mit den in lit. a bis i des GAV FAR aufgefÃ¼hrten Bereichen Ã¼berein. Nach dem Wortlaut von Art. 2 Abs. 4 lit. a des AVE GAV FAR sind Betriebe, Betreibsteile und selbstÃ¤ndige Akkordanten des Tiefbaus den allgemeinverbindlich erklÃ¤rten Bestimmungen des GAV FAR unterstellt. Daneben werden in der gleichen lit. a Hoch-, Untertag- und Strassenbau genannt. Nur beim Strassenbau wird in Klammern (einschliesslich Belagseinbau) ein Zusatzkriterium erwÃ¤hnt. Ob Erdsondenbohrungen in den Bereich des Tiefbaus fallen, kann aus dem Wortlaut allein nicht abgeleitet werden.</w:t>
      </w:r>
    </w:p>
    <w:p>
      <w:r>
        <w:t>6.5Â Â Â Â  Der Homepage des Fachverbands Infra ( www.infra-schweiz.ch ), der Branchenorganisation der im Infrastrukturbau tÃ¤tigen Unternehmen, kann fÃ¼r den Tiefbau folgende Definition entnommen werden: ÂDer Tiefbau baut - der Name sagt es - in die Tiefe. Oder mit anderen Worten: Bauwerke, die an oder unter der ErdoberflÃ¤che liegen. Strassen und Gleise, Tunnels, BrÃ¼cken, unterirdische Wasser- und Stromversorgungseinrichtungen, Kanalisationen, Fundationen oder Baugrubenabdichtungen sind typische Tiefbauwerke.Â Unter Spezialtiefbau versteht der Fachverband Arbeiten, die fÃ¼r StabilitÃ¤t und Sicherheit sorgen. Damit wird der Baugrund fÃ¼r ein GebÃ¤ude, eine BrÃ¼cke, ein Bahntrassee, eine Strasse oder eine Flussverbauung stabilisiert und gesichert. Zudem werden Spezialtiefbauer als Fachleute fÃ¼r Baugrundsondierungen oder Grundwasserabsenkungen herangezogen.</w:t>
      </w:r>
    </w:p>
    <w:p>
      <w:r>
        <w:t>6.6Â Â Â Â  Einmal in eine Bohrung eingebracht, bildet die ErdwÃ¤rmesonde einen geschlossenen Kreislauf und bildet den WÃ¤rmetauscher mit dem Untergrund (ErdwÃ¤rmesonden, Ãberblick, Schweizerischen Vereinigung fÃ¼r Geothermie, www.geothermie.ch ). Die ErdwÃ¤rmesonde wird zumeist in einem vertikalen Bohrloch bis maximal etwa 400 m Tiefe versetzt. Das Bohrloch wird anschliessend mit einer Zement-Betonit-Suspension unter Druck von unten nach oben verfÃ¼llt. Die BohrlochhinterfÃ¼llung garantiert einen optimalen WÃ¤rmeaustausch der Sonde mit dem umgebenden Untergrund. Zudem werden auf diese Weise - ein fachgerechter Ausbau vorausgesetzt - unerwÃ¼nschte Wasserwegsamkeiten entlang dem Bohrloch verhindert (AWEL Amt fÃ¼r Abfall, Wasser, Energie und Luft des Kantons ZÃ¼rich, Energienutzung aus Untergrund und Grundwasser, Planungshilfe, 2010).</w:t>
      </w:r>
    </w:p>
    <w:p>
      <w:r>
        <w:t>Â Â Â Â Â Â Â Â  Aus dieser Definition geht hervor, dass es sich bei der Versetzung einer ErdwÃ¤rmesonde nicht um</w:t>
      </w:r>
    </w:p>
    <w:p>
      <w:r>
        <w:t>Arbeiten am Rohbau handelt. Viel eher ist das Versetzen der Erdsonde als eigenstÃ¤ndiges Bauwerk unter der Erde zu verstehen, bildet doch die im Bohrloch versenkte Erdsonde und die BohrlochhinterfÃ¼llung eine bauliche Einheit wie etwa in den Boden verlegte BetonrÃ¶hren, durch welche Stromversorgungskabel gezogen werden kÃ¶nnen. Die Bohrung des Lochs ist dabei Voraussetzung der Versetzung der Sonde und dabei ein Vorgang des Tiefbaus. Als eigentlicher Spezialtiefbau kann die Errichtung einer ErdwÃ¤rmesonde nicht betrachtet werden, da sie weder der StabilitÃ¤t noch der Sicherheit von Bauwerken dient (E. 6.5). Aus diesem Grunde kann offen gelassen werden, ob sich aus dem Umstand, dass der Begriff Spezialtiefbau im AVE GAV FAR fehlt, dieser jedoch im Jahre 2008 in den LMV mit der Umschreibung ÂTiefbau (einschliesslich Spezialtiefbau)Â Eingang fand (Urk. 10 S. 22), etwas fÃ¼r die betriebliche Unterstellung ableiten lÃ¤sst. Indes stellt die Errichtung von Erdsonden eine TÃ¤tigkeit dar, welche auch von klassischen Tiefbaufirmen durchgefÃ¼hrt werden (vgl. Urk. 18 S. 7).</w:t>
      </w:r>
    </w:p>
    <w:p>
      <w:r>
        <w:t>6.7Â Â Â Â  Zusammenfassend ist davon auszugehen, dass es sich bei Erdsondenbohrungen um Arbeiten handelt, die dem Tiefbau zuzuordnen sind.</w:t>
      </w:r>
    </w:p>
    <w:p>
      <w:r>
        <w:rPr>
          <w:b/>
        </w:rPr>
        <w:t>E. 7</w:t>
      </w:r>
    </w:p>
    <w:p>
      <w:r>
        <w:t>7.1Â Â Â Â  Gibt der Beklagten die Heizungstechnik das GeprÃ¤ge, fÃ¼hrt sie in diesem Zusammenhang indessen auch Arbeiten im Tiefbau aus, weshalb sie als sogenannter Mischbetrieb zu bezeichnen ist. Als solcher beschÃ¤ftigte sie in den Jahren 2007 bis 2009 im Bereich Geothermie zwischen 6 und 15 Mitarbeiter. Die PBK ZÃ¼rich kam zum Schluss, dass die Beklagte ein unechter Mischbetrieb mit Ã¼berwiegendem Umsatzanteil ausserhalb des LMV-Bereichs sei (Urk. 11/10).</w:t>
      </w:r>
    </w:p>
    <w:p>
      <w:r>
        <w:t>7.2Â Â Â Â  Aus der Selbstdeklaration der Beklagten (Urk. 2/9) geht hervor, dass ihre TÃ¤tigkeiten in vier Betreibsteile gegliedert werden kÃ¶nnen: Vertrieb/Handel, Kundendienst, Geothermie und Administration. Die Arbeitnehmenden kÃ¶nnten den Betriebsteilen klar zugeordnet werden. Ebenso konnte die Beklagte die Umsatzzahlen der einzelnen Bereiche definieren. Schliesslich machte die Beklagte in der Klageantwort geltend, sie habe ihre TÃ¤tigkeit im Bereich ÂErdwÃ¤rmesondenbohrungenÂ vollumfÃ¤nglich aufgegeben und sÃ¤mtliche Mitarbeitende mit Wirkung per 4. April 2011 auf die Y.___ Ã¼bertragen. Dies war nur mÃ¶glich, weil die Beklagte ein echter Mischbetrieb darstellt.</w:t>
      </w:r>
    </w:p>
    <w:p>
      <w:r>
        <w:t>7.3Â Â Â Â  Kann die TÃ¤tigkeit der Beklagten im Bereich Geothermie klar von ihren Ã¼brigen TÃ¤tigkeiten abgegrenzt werden, unterliegt einzig dieser Bereich dem AVE GAV FAR.</w:t>
      </w:r>
    </w:p>
    <w:p>
      <w:r>
        <w:t>7.4Â Â Â Â  Soweit die BeschwerdefÃ¼hrerin die rÃ¼ckwirkende Einforderung der Beitragszahlungen fÃ¼r unzulÃ¤ssig hÃ¤lt, ist sie damit nicht zu hÃ¶ren. Die Beitragserhebung ist gestÃ¼tzt auf die gesetzeskonforme Publikation der AVE GAV FAR zulÃ¤ssig, sobald die entsprechenden Tatbestandsvoraussetzungen erfÃ¼llt sind. Dabei ist belanglos, ob die Stiftung FAR einen Unterstellungsbeschluss trifft oder nicht, zumal sie auch nicht befugt ist, VerfÃ¼gungen betreffend Beitragspflicht oder -erhebung zu erlassen (BGE 138 V 32 E. 4.2 S. 39 f.).</w:t>
      </w:r>
    </w:p>
    <w:p>
      <w:r>
        <w:rPr>
          <w:b/>
        </w:rPr>
        <w:t>E. 8</w:t>
      </w:r>
    </w:p>
    <w:p>
      <w:r>
        <w:t>8.1Â Â Â Â  Laut Art. 2 Abs. 5 letzter Satz AVE GAV FAR gelten die allgemein verbindlich erklÃ¤rten Bestimmungen nicht fÃ¼r das leitende Personal, das technische und kaufmÃ¤nnische Personal sowie das Kantinen- und Reinigungspersonal eines unterstellten Betriebes.</w:t>
      </w:r>
    </w:p>
    <w:p>
      <w:r>
        <w:t>8.2Â Â Â Â  Laut Arbeitsvertrag vom 1. Dezember 2008 (Urk. 11/13) war Z.___ mit Wirkung ab 1. Februar 2009 stellvertretender Leiter Geothermie/technischer Berater. Auf den 30. September 2009 wurde das ArbeitsverhÃ¤ltnis aufgelÃ¶st (Urk. 19 S. 34 und Urk. 2/17; 2009). Als stellvertretender Leiter Geothermie und technischer Berater unterstand er dem AVE GAV FAR nicht.</w:t>
      </w:r>
    </w:p>
    <w:p>
      <w:r>
        <w:t>Â Â Â Â Â Â Â Â  A.___ war ab 1. September 2009 stellvertretender Leiter Geothermie und unterstand in dieser Funktion dem AVE GAV FAR nicht (Urk. 11/13).</w:t>
      </w:r>
    </w:p>
    <w:p>
      <w:r>
        <w:t>8.3Â Â Â Â  Von den der Beitragspflicht 2009 zugrundeliegenden BruttolÃ¶hne ist das Gehalt von Z.___ vom 1. Februar bis 30. September 2009 abzuziehen. Dieser erzielte gemÃ¤ss Lohnbescheinigung vom 21. Januar 2011 von Januar bis September 2009 ein Bruttogehalt von Fr. 75Â925.--. Ab 1. Februar 2009 erzielte er ein Monatseinkommen von Fr. 6Â500.-- beziehungsweise ein Jahreseinkommen von Fr. 84Â500.--. Darauf verfielen von Februar bis September (Fr. 84Â500.-- : 12 x 8) und insgesamt Fr. 56Â333.35 welche von der Lohnsumme fÃ¼r das Jahr 2009 von Fr. 1Â256Â444.15 abzuziehen sind.</w:t>
      </w:r>
    </w:p>
    <w:p>
      <w:r>
        <w:t>Â Â Â Â Â Â Â Â  A.___ erzielte wÃ¤hrend der Probezeit von September bis November 2009 ein Jahresgehalt von Fr. 78Â000.-- und ab Dezember 2009 ein solches von Fr. 87Â100.--. Damit erzielte er im Jahr 2009 als stellvertretender Leiter Fr. 26Â758.35 ([Fr. 78Â000.--: 12 x 3] + [Fr. 87Â100 : 12]). Dieser Betrag ist ebenfalls von der Gesamtlohnsumme 2009 von Fr. 1Â256Â444.15 abzuziehen.</w:t>
      </w:r>
    </w:p>
    <w:p>
      <w:r>
        <w:t>Â Â Â Â Â Â Â Â  Damit betrÃ¤gt die Lohnsumme des Jahres 2009, auf welcher BeitrÃ¤ge abzuliefern sind, Fr. 1Â173Â352.45 (Fr. 1Â256Â444.15 - Fr. 56Â333.35 - Fr. 26Â758.35) und die darauf geschuldeten BeitrÃ¤ge fÃ¼r das Jahr 2009 betragen Fr. 62Â187.70 (= 5,3 % x Fr. 1Â173Â352.45).</w:t>
      </w:r>
    </w:p>
    <w:p>
      <w:r>
        <w:t>Â Â Â Â Â Â Â Â  Im Jahr 2010 erzielte A.___ laut Lohnbescheinigung 2010 (Urk. 2/17; 2010) ein Jahresgehalt von Fr. 106Â060.20. Dieses ist von der Gesamtsumme von Fr. 1Â089Â837.35 abzuziehen. Damit betrÃ¤gt die Lohnsumme des Jahres 2010, auf welcher BeitrÃ¤ge abzuliefern sind, Fr. 983Â777.15 (Fr. 1Â089Â837.35 - Fr. 106Â060.20) und die darauf geschuldeten BeitrÃ¤ge fÃ¼r das Jahr 2010 betragen Fr. 52Â140.20 (= 5,3 % x Fr. 983Â777.15).</w:t>
      </w:r>
    </w:p>
    <w:p>
      <w:r>
        <w:t>8.4Â Â Â Â  Zusammenfassend ist die Klage im Betrag von Fr. 180Â448.55 (= Fr. 18Â296.05 + Fr. 47Â824.60 + Fr. 62Â187.70 + Fr. 52Â140.20) teilweise gutzuheissen.</w:t>
      </w:r>
    </w:p>
    <w:p>
      <w:r>
        <w:t>9.Â Â Â Â Â Â  Grundlage des von der KlÃ¤gerin geforderten Verzugszinses bildet Art. 9 Abs. 2 und 3 GAV FAR, der in teilweiser Abweichung von Art. 100 ff. OR vorsieht, dass Akontozahlungen spÃ¤testens per Quartalsende fÃ¤llig sind und ab FÃ¤lligkeit ein Verzugszins von 5 % geschuldet ist. Der jeweils nur per Jahresende eingeklagte Verzugszins ist daher ohne Weiteres ausgewiesen.</w:t>
      </w:r>
    </w:p>
    <w:p>
      <w:r>
        <w:t>10.Â Â Â Â  Nach Â§ 34 GSVGer steht den VersicherungstrÃ¤gern in der Regel kein Anspruch auf ProzessentschÃ¤digung zu. Vorliegend besteht kein Anlass, von diesem Grundsatz abzuweichen.</w:t>
      </w:r>
    </w:p>
    <w:p>
      <w:r>
        <w:t>Â Â Â Â Â Â Â Â  Da die Beklagte nur geringfÃ¼gig obsiegte, ist von einer ProzessentschÃ¤digung abzusehen.</w:t>
      </w:r>
    </w:p>
    <w:p>
      <w:r>
        <w:t>Das Gericht erkennt:</w:t>
      </w:r>
    </w:p>
    <w:p>
      <w:r>
        <w:t>1.Â Â Â Â Â Â Â Â  In teilweiser Gutheissung der Klage wird die Beklagte verpflichtet, der KlÃ¤gerin Fr. 180Â448.55 zu bezahlen, zuzÃ¼glich Verzugszins von je 5 % auf Fr. 18Â296.05 ab 1. Januar 2008, auf Fr. 47Â824.60 ab 1. Januar 2009, Fr. 62Â187.70 ab 1. Januar 2010 und auf Fr. 52Â140.20 ab 1. Januar 2010. Im Mehrbetrag wird die Klage abgewiesen.</w:t>
      </w:r>
    </w:p>
    <w:p>
      <w:r>
        <w:t>2.Â Â Â Â Â Â Â Â  Das Verfahren ist kostenlos.</w:t>
      </w:r>
    </w:p>
    <w:p>
      <w:r>
        <w:t>3.Â Â Â Â Â Â Â Â  Der Beklagten wird keine ProzessentschÃ¤digung zugesprochen.</w:t>
      </w:r>
    </w:p>
    <w:p>
      <w:r>
        <w:t>4.Â Â Â Â Â Â Â Â  Zustellung gegen Empfangsschein an:</w:t>
      </w:r>
    </w:p>
    <w:p>
      <w:r>
        <w:t>- Stiftung fÃ¼r den flexiblen AltersrÃ¼cktritt im Bauhauptgewerbe (FAR)</w:t>
      </w:r>
    </w:p>
    <w:p>
      <w:r>
        <w:t>- BDO AG</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