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BV.2011.00055 vom 23. Mai 2013</w:t>
      </w:r>
    </w:p>
    <w:p>
      <w:r>
        <w:t>ZH Sozialversicherungsgericht, 2013-05-23, DE</w:t>
      </w:r>
    </w:p>
    <w:p>
      <w:r>
        <w:rPr>
          <w:b/>
        </w:rPr>
        <w:t xml:space="preserve">Quelle: </w:t>
      </w:r>
      <w:r>
        <w:t>https://mcp.opencaselaw.ch/entscheid/zh_sozialversicherungsgericht_BV.2011.00055</w:t>
      </w:r>
    </w:p>
    <w:p>
      <w:r>
        <w:t>FR: ZH_SOZIALVERSICHERUNGSGERICHT BV.2011.00055 du 23 mai 2013</w:t>
      </w:r>
    </w:p>
    <w:p>
      <w:r>
        <w:t>IT: ZH_SOZIALVERSICHERUNGSGERICHT BV.2011.00055 del 23 maggio 2013</w:t>
      </w:r>
    </w:p>
    <w:p>
      <w:pPr>
        <w:pStyle w:val="Heading2"/>
      </w:pPr>
      <w:r>
        <w:t>Erwägungen</w:t>
      </w:r>
    </w:p>
    <w:p>
      <w:r>
        <w:rPr>
          <w:b/>
        </w:rPr>
        <w:t>E. 1</w:t>
      </w:r>
    </w:p>
    <w:p>
      <w:r>
        <w:t>1.1Â Â Â Â  GemÃ¤ss Art. 34a Abs. 1 des Bundesgesetzes Ã¼ber die berufliche Alters-, Hinterlassenen- und Invalidenvorsorge (BVG) erlÃ¤sst der Bundesrat Vorschriften zur Verhinderung ungerechtfertigter Vorteile des Versicherten oder seiner Hinterlassenen beim Zusammentreffen mehrerer Leistungen. GestÃ¼tzt darauf bestimmt Art. 24 der Verordnung Ã¼ber die berufliche Alters-, Hinterlassenen- und Invalidenvorsorge (BVV 2), dass die Vorsorgeeinrichtung die Hinterlassenen- und Invalidenleistungen kÃ¼rzen kann, soweit sie zusammen mit anderen anrechenbaren EinkÃ¼nften 90 Prozent des mutmasslich entgangenen Verdienstes Ã¼bersteigen (Abs. 1). Als anrechenbare EinkÃ¼nfte gelten Leistungen gleicher Art und Zweckbestimmung, die der anspruchsberechtigten Person aufgrund des schÃ¤digenden Ereignisses ausgerichtet werden, wie Renten oder Kapitalleistungen mit ihrem Rentenumwandlungswert in- und auslÃ¤ndischer Sozialversicherungen und Vorsorgeeinrichtungen, mit Ausnahme von HilflosenentschÃ¤digungen, Abfindungen und Ã¤hnlichen Leistungen. BezÃ¼gern von Invalidenleistungen wird Ã¼berdies das weiterhin erzielte oder zumutbarerweise noch erzielbare Erwerbs- oder Ersatzeinkommen angerechnet (Abs. 2).</w:t>
      </w:r>
    </w:p>
    <w:p>
      <w:r>
        <w:t>1.2Â Â Â Â  Die Vorsorgeeinrichtungen kÃ¶nnen sich im Ãberobligatoriumsbereich weitgehend frei einrichten (Art. 49 Abs. 1 BVG), sie haben dabei aber den verfassungsmÃ¤ssigen Minimalstandard (rechtsgleiche Behandlung, WillkÃ¼rverbot, VerhÃ¤ltnismÃ¤ssigkeit) zu wahren. Im Ãberobligatorium gelten daher nicht Art. 34a BVG und Art. 24 BVV 2, sondern die reglementarischen Bestimmungen, welche auch strenger sein kÃ¶nnen als diejenigen der BVV 2, solange die Leistungen gemÃ¤ss Obligatorium eingehalten werden (Urteil des Bundesgerichts 9C_37/2010 vom 4. August 2010 E. 2.2 mit Hinweisen).</w:t>
      </w:r>
    </w:p>
    <w:p>
      <w:r>
        <w:t>1.3Â Â Â Â  Nach Art. 3.8. des Reglements der Beklagten vom Januar 1998 (Urk. 7/8) dÃ¼rfen die Rentenleistungen der Kasse bei Tod und InvaliditÃ¤t zusammen mit jenen von dritter Seite 90 % des mutmasslich entgangenen Verdienstes nicht Ã¼bersteigen (Abs. 1). Als Leistungen von dritter Seite werden gemÃ¤ss Abs. 2 unter anderem Leistungen der EidgenÃ¶ssischen Alters-, Invaliden- und Hinterlassenenversicherung (AHV/IV) oder einer anderen in- oder auslÃ¤ndischen Sozialversicherung unter Vorbehalt von Abs. 3 und das Erwerbseinkommen eines Invaliden angerechnet. Nach Abs. 3 werden die HilflosenentschÃ¤digungen fÃ¼r Mann und Frau sowie Abfindungen und Ã¤hnliche Leistungen nicht berÃ¼cksichtigt. Die Ehepaarrenten der AHV/IV werden nur zu zwei Dritteln angerechnet. EinkÃ¼nfte der Ehegatten und Waisen werden zusammengerechnet. Laut Abs. 4 werden die Leistungen der Kasse im Falle einer Ãberversicherung entsprechend gekÃ¼rzt. Auf Antrag kÃ¶nnen in HÃ¤rtefÃ¤llen Ausnahmen durch den Stiftungsrat bewilligt werden.</w:t>
      </w:r>
    </w:p>
    <w:p>
      <w:r>
        <w:t>1.4Â Â Â Â  Laut dem am 1. Januar 2005 in Kraft getretenen Art. 35a BVG sind unrechtmÃ¤ssig bezogene Leistungen zurÃ¼ckzuerstatten. Von der RÃ¼ckforderung kann abgesehen werden, wenn der LeistungsempfÃ¤nger gutglÃ¤ubig war und die RÃ¼ckforderung zu einer grossen HÃ¤rte fÃ¼hrt (Abs. 1). Der RÃ¼ckforderungsanspruch verjÃ¤hrt mit Ablauf eines Jahres, nachdem die Vorsorgeeinrichtung davon Kenntnis erhalten hat, spÃ¤testens aber mit Ablauf von fÃ¼nf Jahren seit Auszahlung der Leistung. Wird der RÃ¼ckforderungsanspruch aus einer strafbaren Handlung hergeleitet, fÃ¼r welche das Strafrecht eine lÃ¤ngere VerjÃ¤hrungsfrist festsetzt, so ist diese Frist massgebend (Abs. 2).</w:t>
      </w:r>
    </w:p>
    <w:p>
      <w:r>
        <w:t>1.5Â Â Â Â  Nach Art. 62 des Obligationenrechts (OR) hat derjenige, der in ungerechtfertigter Weise aus dem VermÃ¶gen eines andern bereichert worden ist, die Bereicherung zurÃ¼ckzuerstatten (Abs. 1). Insbesondere tritt diese Verbindlichkeit dann ein, wenn jemand ohne jeden gÃ¼ltigen Grund oder aus einem nicht verwirklichten oder nachtrÃ¤glich weggefallenen Grund eine Zuwendung erhalten hat (Abs. 2). Der Bereicherungsanspruch verjÃ¤hrt mit Ablauf eines Jahres, nachdem der Verletzte von seinem Anspruch Kenntnis erhalten hat, in jedem Fall aber mit Ablauf von zehn Jahren seit der Entstehung des Anspruchs (Art. 67 Abs. 1 OR)</w:t>
      </w:r>
    </w:p>
    <w:p>
      <w:r>
        <w:t>1.6Â Â Â Â  Wenn zwei Personen einander Geldsummen oder andere Leistungen, die ihrem Gegenstande nach gleichartig sind, schulden, so kann jede ihre Schuld, insofern beide Forderungen fÃ¤llig sind, mit ihrer Forderung verrechnen (Art. 120 Abs. 1 OR). Der Schuldner kann die Verrechnung geltend machen, auch wenn seine Gegenforderung bestritten wird (Abs. 2). Eine verjÃ¤hrte Forderung kann zur Verrechnung gebracht werden, wenn sie zurzeit, wo sie mit der andern Forderung verrechnet werden konnte, noch nicht verjÃ¤hrt war (Abs. 3).</w:t>
      </w:r>
    </w:p>
    <w:p>
      <w:r>
        <w:t>Â Â Â Â Â Â Â Â  Verpflichtungen, deren besondere Natur die tatsÃ¤chliche ErfÃ¼llung an den GlÃ¤ubiger verlangt, wie UnterhaltsansprÃ¼che und Lohnguthaben, die zum Unterhalt des GlÃ¤ubigers und seiner Familie unbedingt erforderlich sind, kÃ¶nnen gemÃ¤ss Art. 125 Ziff. 2 OR nicht wider den Willen des GlÃ¤ubigers durch Verrechnung getilgt werden.</w:t>
      </w:r>
    </w:p>
    <w:p>
      <w:r>
        <w:rPr>
          <w:b/>
        </w:rPr>
        <w:t>E. 2</w:t>
      </w:r>
    </w:p>
    <w:p>
      <w:r>
        <w:t>2.1Â Â Â Â  Der KlÃ¤ger fÃ¼hrte zur KlagebegrÃ¼ndung im Wesentlichen aus, die Verrechnung der RÃ¼ckforderung erweise sich aus verschiedenen GrÃ¼nden als widerrechtlich. Soweit die Grenze von 90 % des mutmasslich entgangenen Verdienstes in der Zeit von 2005 bis 2007 aufgrund des Teuerungsausgleichs bei den Renten der Invalidenversicherung Ã¼berschritten worden sei, sei die diesbezÃ¼gliche RÃ¼ckforderung im Betrag von Fr. 4Â176.- (je Fr. 1Â008.- betreffend die Jahre 2005 und 2006 sowie Fr. 2Â160.- betreffend das Jahr 2007) schon deshalb zu Unrecht erfolgt, weil es der Beklagten anzulasten sei, dass sie ihre Leistungen nicht rechtzeitig angepasst habe. Ein allfÃ¤lliger RÃ¼ckerstattungsanspruch bezÃ¼glich dieses Betrags sei zudem im Zeitpunkt der Verrechnung im Jahr 2010 schon lÃ¤ngstens verjÃ¤hrt gewesen (Urk. 1 S. 5 f., Urk. 10 S. 3 f., Urk. 27 S. 2 ff.). Da er die RIMAG Pensionskassen Verwaltungs AG am 3. Juni 2004 entsprechend orientiert habe und in den - der RIMAG Pensionskassen Verwaltungs AG am 22. Juli 2004 zugestellten - Akten der IV Ã¼berdies dokumentiert sei, dass er per 1. Juni 2003 eine BeratungstÃ¤tigkeit fÃ¼r den Z.___ mit einem jÃ¤hrlichen Einkommen von Fr. 5Â350.- aufgenommen habe (Urk. 1 S. 6, Urk. 27 S. 2), sei der diesbezÃ¼glich fÃ¼r die Zeit bis Ende Juni 2005 geltend gemachte RÃ¼ckerstattungsanspruch in der HÃ¶he von Fr. 4Â012.50 (Fr. 1Â337.50 + Fr. 2Â675.--) im Zeitpunkt der erstmaligen Geltendmachung der RÃ¼ckforderung mit Schreiben vom 2. Juli 2010 bereits verwirkt gewesen (Urk. 1 S. 7, Urk. 10 S. 2). Schliesslich habe die Beklagte auch den demnach verbleibenden RÃ¼ckforderungsbetrag von Fr. 16Â941.65 zurÃ¼ckzuerstatten. Indem diese in den Monaten September bis November 2010 den vollen Rentenbetrag mit der geltend gemachten RÃ¼ckforderung verrechnet habe, habe sie nÃ¤mlich - in Verletzung von Art. 125 Ziff. 2 OR - sein Existenzminimum missachtet (Urk. 1 S. 8, Urk. 10 S. 3 ff., Urk. 27 S. 3 f.).</w:t>
      </w:r>
    </w:p>
    <w:p>
      <w:r>
        <w:t>2.2Â Â Â Â  Die Beklagte stellte sich demgegenÃ¼ber im Wesentlichen auf den Standpunkt, die RÃ¼ckforderung beziehungsweise die Verrechnung des RÃ¼ckforderungsbetrags mit den laufenden Renten sei - vollumfÃ¤nglich - zu Recht erfolgt. Die ÃberentschÃ¤digung infolge Anpassung der Renten der Invalidenversicherung an die Teuerung sei bei der Berechnung des RÃ¼ckforderungsbetrags gar nicht berÃ¼cksichtigt worden. Dieser sei tatsÃ¤chlich ausschliesslich aufgrund des Einkommens aus Nebenverdienst ermittelt worden und daher nicht um Fr. 4Â176.-- zu reduzieren, sondern an sich gar um diesen Betrag zu erhÃ¶hen (Urk. 6 S. 3). Da sie erst mit der Aktenzustellung vom 17. November 2009 Kenntnis von der NebenerwerbstÃ¤tigkeit erhalten habe, sei die einjÃ¤hrige VerjÃ¤hrungsfrist am 2. Juli 2010, als sie die ÃberentschÃ¤digungsabrechnung erstellt habe, noch nicht abgelaufen gewesen. Selbst der Eintritt der VerjÃ¤hrung Ã¤nderte nichts daran, dass die RÃ¼ckforderung - gestÃ¼tzt auf Art. 120 Abs. 3 OR - mit den laufenden Renten habe verrechnet werden dÃ¼rfen (Urk. 6 S. 4, Urk. 22 S. 2). Schliesslich sei dem KlÃ¤ger im Hinblick auf die Wahrung des Existenzminimums mit Schreiben vom 20. September 2010 Gelegenheit gegeben worden, seine finanzielle Lage darzulegen. Nachdem sich dieser daraufhin wÃ¤hrend Ã¼ber acht Monaten nicht habe vernehmen lassen, habe davon ausgegangen werden kÃ¶nnen, dass durch die Verrechnung nicht in sein Existenzminimum eingegriffen werde. Selbst wenn Gegenteiliges der Fall gewesen wÃ¤re, was mangels eines entsprechenden Nachweises (auch im Rahmen dieses Verfahrens) nicht anzunehmen sei, kÃ¶nne der KlÃ¤ger daraus nichts zu seinen Gunsten ableiten. Einerseits fehle es, sofern der KlÃ¤ger damals nicht FÃ¼rsorgeleistungen habe in Anspruch nehmen mÃ¼ssen, an einem Rechtsschutzinteresse. Andererseits sei die Berufung auf eine finanzielle Notlage insofern rechtsmissbrÃ¤uchlich, als der KlÃ¤ger, der seine finanziellen VerhÃ¤ltnisse damals trotz entsprechender Aufforderung nicht offengelegt habe, die Wahrung des Existenzminimums durch dieses Verhalten schuldhalft verhindert habe (Urk. 6 S. 4, Urk. 22 S. 2 f.). Gehe man dennoch von einer unzulÃ¤ssigen Missachtung des Existenzminimums aus, so kÃ¶nnte die RÃ¼ckforderung nach wie vor - allenfalls in kleineren TeilbetrÃ¤gen - mit den (weiterhin laufenden) Rentenzahlungen verrechnet werden, weshalb auch ein Nichteintreten auf die Klage mangels Rechtsschutzinteresses in Betracht falle (Urk. 22 S. 3 f.).</w:t>
      </w:r>
    </w:p>
    <w:p>
      <w:r>
        <w:rPr>
          <w:b/>
        </w:rPr>
        <w:t>E. 3</w:t>
      </w:r>
    </w:p>
    <w:p>
      <w:r>
        <w:t>3.1Â Â Â Â  Strittig ist, ob die Beklagte die fÃ¼r die Zeit vom 1. Oktober 2004 bis 31. August 2008 ausgerichteten Rentenleistungen, soweit sie zusammen mit den Rentenzahlungen der IV und den ErwerbseinkÃ¼nften den Grenzwert von 90 % des mutmasslich entgangenen Verdienstes in den einzelnen Monaten Ã¼berschritten, zu Recht mit den laufenden Rentenzahlungen verrechnete.</w:t>
      </w:r>
    </w:p>
    <w:p>
      <w:r>
        <w:t>3.2Â Â Â Â  Wie sich aus den Akten (vgl. insbesondere Urk. 2/3, Urk. 2/5 = Urk. 7/10, Urk. 2/6 = Urk. 7/11, Urk. 2/9, Urk. 2/12) ergibt und vom KlÃ¤ger an sich auch nicht in Abrede gestellt wurde (Urk. 1, Urk. 10), Ã¼berstiegen die Rentenleistungen der IV und der Beklagten fÃ¼r die Zeit vom 1. Oktober 2004 bis 31. August 2008 zusammen mit dem wÃ¤hrend dieser Zeitspanne generierten Erwerbseinkommen die ÃberentschÃ¤digungslimite von 90 % des mutmasslich entgangenen Verdienstes um gesamthaft (mindestens) Fr. 25Â130.15. Die Verrechnung dieses Betrags war - gestÃ¼tzt auf Art. 120 OR - grundsÃ¤tzlich (unbestrittenermassen) zulÃ¤ssig. Ob die RÃ¼ckforderung im Zeitpunkt der Verrechnung bereits verjÃ¤hrt war (Urk. 1 S. 5 ff., Urk. 10 S. 3 f.), braucht nicht weiter geprÃ¼ft zu werden, kÃ¶nnen doch nach Art. 120 Abs. 3 OR auch verjÃ¤hrte Forderungen zur Verrechnung gebracht werden, wenn sie - wie es vorliegend der Fall ist - in dem Zeitpunkt, in dem sie mit der anderen Forderung verrechnet werden konnten, noch nicht verjÃ¤hrt waren (vgl. hierzu: Urteil des Bundesgerichts 9C_566/2007 vom 3. Januar 2008 E. 3.3). Als unbehelflich erweist sich auch die Berufung auf Art. 125 Ziff. 2 OR (Urk. 1 S. 8, Urk. 10 S. 4 f., Urk. 27 S. 3 f.). Diese Norm schÃ¼tzt den GlÃ¤ubiger nÃ¤mlich rechtsprechungsgemÃ¤ss nur insoweit vor der Verrechnung, als die diversen AnsprÃ¼che zu seinem Unterhalt und zum Unterhalt seiner Familie unbedingt notwendig sind; letzteres ist vom GlÃ¤ubiger zu beweisen (vgl. hiezu Peter, Basler Kommentar zum OR I, Ziff. 9 zu Art. 125, mit Hinweisen). Der KlÃ¤ger hat es indes unterlassen, der Beklagten (vgl. hiezu Urk. 23/1-2, Urk. 2/7-8) beziehungsweise - im Rahmen dieses (erst rund ein halbes Jahr nach Verrechnung des letzten Teilbetrags angestrengten) Verfahrens - dem Gericht substaniiert darzulegen, weshalb die Verrechnung einen Eingriff in sein Existenzminimum bedeutete. Allein aufgrund des (teilweisen) Wegfalls der Rente der Beklagten wÃ¤hrend circa dreieinhalb Monaten erscheint der Einritt einer finanziellen Notlage noch nicht als Ã¼berwiegend wahrscheinlich. Denkbar ist etwa, dass der KlÃ¤ger nebst den Renten der IV und der beruflichen Vorsorge noch Leistungen einer privaten Versicherung bezieht und/oder dass seine Ehegattin Ã¼ber EinkÃ¼nfte verfÃ¼gt, mit denen sich (zusammen mit den Rentenleistungen der Invalidenversicherung) die existenziellen Auslagen der Familie wÃ¤hrend des fraglichen Zeitraums decken liessen. Schliesslich ist darauf hinzuweisen, dass es der Beklagten, die dem KlÃ¤ger weiterhin eine Invalidenrente ausrichtet, auch bei einem tatsÃ¤chlich erfolgten Eingriff in das Existenzminimum unbenommen bliebe, ihren RÃ¼ckforderungsanspruch - gegebenenfalls aufgeteilt auf kleine monatliche BetrÃ¤ge - mit den laufenden Rentenzahlungen verrechnen.</w:t>
      </w:r>
    </w:p>
    <w:p>
      <w:r>
        <w:t>3.3Â Â Â Â  Nach dem Gesagten ist nicht zu beanstanden, dass die Beklagte den Betrag von Fr. 25Â130.15 mit laufenden Renten verrechnet hat. Die Klage erweist sich demnach als unbegrÃ¼ndet.</w:t>
      </w:r>
    </w:p>
    <w:p>
      <w:r>
        <w:t>4.Â Â Â Â Â Â  Der obsiegenden Beklagten als TrÃ¤gerin der beruflichen Vorsorge steht keine ProzessentschÃ¤digung zu (Urk. 6 S. 2; Â§ 34 Abs. 2 des Gesetzes Ã¼ber das Sozialversicherungsgericht [GSVGer]; vgl. BGE 128 V 133 E. 5b, 126 V 150 E. 4a, 118 V 169 E. 7 und 117 V 349 E. 8, mit Hinweisen; vgl. auch BGE 122 V 125 E. 5b und 320 E. 1a und b sowie 112 V 356 E. 6).</w:t>
      </w:r>
    </w:p>
    <w:p>
      <w:r>
        <w:t>Das Gericht erkennt:</w:t>
      </w:r>
    </w:p>
    <w:p>
      <w:r>
        <w:t>1.Â Â Â Â Â Â Â Â  Die Klage wird abgewiesen.</w:t>
      </w:r>
    </w:p>
    <w:p>
      <w:r>
        <w:t>2.Â Â Â Â Â Â Â Â  Das Verfahren ist kostenlos.</w:t>
      </w:r>
    </w:p>
    <w:p>
      <w:r>
        <w:t>3.Â Â Â Â Â Â Â Â  Zustellung gegen Empfangsschein an:</w:t>
      </w:r>
    </w:p>
    <w:p>
      <w:r>
        <w:t>- RechtsanwÃ¤ltin Alexandra ZÃ¼rcher</w:t>
      </w:r>
    </w:p>
    <w:p>
      <w:r>
        <w:t>- V.___</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