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BV.2011.00036 vom 7. August 2012</w:t>
      </w:r>
    </w:p>
    <w:p>
      <w:r>
        <w:t>ZH Sozialversicherungsgericht, 2012-08-07, DE</w:t>
      </w:r>
    </w:p>
    <w:p>
      <w:r>
        <w:rPr>
          <w:b/>
        </w:rPr>
        <w:t xml:space="preserve">Quelle: </w:t>
      </w:r>
      <w:r>
        <w:t>https://mcp.opencaselaw.ch/entscheid/zh_sozialversicherungsgericht_BV.2011.00036</w:t>
      </w:r>
    </w:p>
    <w:p>
      <w:r>
        <w:t>FR: ZH_SOZIALVERSICHERUNGSGERICHT BV.2011.00036 du 7 août 2012</w:t>
      </w:r>
    </w:p>
    <w:p>
      <w:r>
        <w:t>IT: ZH_SOZIALVERSICHERUNGSGERICHT BV.2011.00036 del 7 agosto 2012</w:t>
      </w:r>
    </w:p>
    <w:p>
      <w:pPr>
        <w:pStyle w:val="Heading2"/>
      </w:pPr>
      <w:r>
        <w:t>Erwägungen</w:t>
      </w:r>
    </w:p>
    <w:p>
      <w:r>
        <w:rPr>
          <w:b/>
        </w:rPr>
        <w:t>E. 3</w:t>
      </w:r>
    </w:p>
    <w:p>
      <w:r>
        <w:t>3.1Â Â Â Â  Es ist festzuhalten, dass der Einzelrichter des Bezirkes A.___ trotz fehlender DurchfÃ¼hrbarkeitserklÃ¤rung der Z.___ und obwohl X.___ entgegen der ursprÃ¼nglich abgeschlossenen Scheidungskonvention (Urk. 2/16 Ziff. 5) sich mit der hÃ¤lftigen Teilung ihrer Austrittsleistung nicht mehr einverstanden erklÃ¤rte (Urk. 2/32), die hÃ¤lftige Austrittsleistung angeordnet hat. Im vorliegenden Verfahren vor dem Sozialversicherungsgericht ist lediglich zu Ã¼berprÃ¼fen, ob die hÃ¤lftige Teilung bei beiden Ehegatten durchfÃ¼hrbar ist. Soweit dies infolge Eintritts eines Vorsorgefalles bei einem oder beiden Ehegatten nicht mÃ¶glich ist, hat eine RÃ¼ckweisung an das Bezirksgericht zu erfolgen, damit dieses die angemessene EntschÃ¤digung im Sinne von Art. 124 ZGB festlegen kann. Im vorliegenden Verfahren nicht zu beachten ist entgegen der von X.___ vertretenen Ansicht Art. 123 Abs. 2 ZGB. Nach dieser Bestimmung kann das Gericht die Teilung ganz oder teilweise verweigern, wenn sie aufgrund der gÃ¼terrechtlichen Auseinandersetzung oder der wirtschaftlichen VerhÃ¤ltnisse nach der Scheidung offensichtlich unbillig wÃ¤re. Diese Frage ist nicht vom Vorsorgegericht, sondern vom Scheidungsgericht zu Ã¼berprÃ¼fen. Der Einzelrichter des Bezirkes A.___ hat die hÃ¤lftige Teilung in Kenntnis der gÃ¼terrechtlichen und wirtschaftlichen VerhÃ¤ltnisse der Parteien angeordnet, und soweit X.___ der Meinung ist, diese Anordnung sei unbillig, hÃ¤tte sie dies mittels Berufung gegen das Scheidungsurteil geltend machen mÃ¼ssen. Wenn der Eintritt eines Vorsorgefalles zu verneinen ist, ist demnach gemÃ¤ss dem unangefochten in Rechtskraft erwachsenen Scheidungsurteil die hÃ¤lftige Teilung durchzufÃ¼hren.</w:t>
      </w:r>
    </w:p>
    <w:p>
      <w:r>
        <w:t>3.2Â Â Â Â  X.___ ist in ihrem angestammten Beruf als BÃ¤cker-Konditorin seit dem 25. MÃ¤rz 2010 zu 100 % arbeitsunfÃ¤hig (vgl. Bericht von med. pract. B.___ vom 4. Mai 2010, Urk. 15/4/13). GemÃ¤ss dem Bericht des Spitals C.___ vom 8. September 2010 (Urk. 15/11/5-6) leidet sie unter unverÃ¤nderten Restbeschwerden bei Status nach partiellem Release der Plantaraponeurose am Calcaneus rechts am 15. Juni 2010 sowie bei Verdacht auf symptomatische Fascilitis plantaris. Es bestehe aufgrund der Schmerzsymptomatik unter eingeschrÃ¤nkter Geh- und StehfÃ¤higkeit eine 100%ig eingeschrÃ¤nkte ArbeitsfÃ¤higkeit. Sollten die Beschwerden mittel- bis langfristig nicht verbesserungsfÃ¤hig sein, werde eine eingeschrÃ¤nkte Gang- und StehfÃ¤higkeit bestehen bleiben. Allerdings sei die Patientin in einer angepassten TÃ¤tigkeit mit hauptsÃ¤chlich sitzender Belastung und kurzen Geh- und Standphasen zu 100 % arbeitsfÃ¤hig. Die HausÃ¤rztin B.___ hielt am 13. September 2011 (Urk. 15/47) fest, X.___ kÃ¶nne aus gesundheitlichen GrÃ¼nden die Arbeit als BÃ¤cker-Konditorin nicht mehr verrichten. FÃ¼r BÃ¼roarbeiten sei sie aber zu 100 % arbeitsfÃ¤hig. Mit VerfÃ¼gung vom 10. November 2011 sprach die IV-Stelle X.___ die Ãbernahme der Kosten fÃ¼r die berufsbegleitende Umschulung in den kaufmÃ¤nnischen Bereich fÃ¼r die Dauer vom 1. MÃ¤rz 2011 bis zum 30. August 2011 (richtig: 2012) zu (Urk. 15/51). Mit VerfÃ¼gung vom 16. MÃ¤rz 2012 wurde ihr ausserdem fÃ¼r die Dauer vom 27. Februar 2012 bis zum 2. September 2012 ein Taggeld zugesprochen (Urk. 15/65). Zuvor bezog sie offenbar Taggelder der Arbeitslosenversicherung und der Krankentaggeldversicherung (Urk. 15/60/2).</w:t>
      </w:r>
    </w:p>
    <w:p>
      <w:r>
        <w:t>3.3Â Â Â Â  Insgesamt ergibt sich, dass X.___ am 26. MÃ¤rz 2011 - somit zwar nach FÃ¤llung des Scheidungsurteils (16. MÃ¤rz 2011), aber noch vor Eintritt der Rechtskraft (12. April 2011) - wÃ¤hrend eines Jahres zu 100 % arbeitsunfÃ¤hig gewesen ist. Die weitere Voraussetzung fÃ¼r den Eintritt des Vorsorgefalles "InvaliditÃ¤t", nÃ¤mlich der Bezug einer Invalidenrente der Vorsorgeeinrichtung, war dagegen in diesem Zeitpunkt nicht gegeben. Die Sammelstiftung richtete ihr am 12. April 2011 keine Invalidenrente aus, sondern gewÃ¤hrte ihr lediglich die reglementarisch vorgesehene Beitragsbefreiung (Urk. 18). Dies tat sie zu Recht, denn die Invalidenversicherung fÃ¼hrt seit dem 1. MÃ¤rz 2011 Eingliederungsmassnahmen durch und gewÃ¤hrt X.___ auch Taggelder, soweit selbige nicht durch den Bezug anderer Sozialversicherungsleistungen - insbesondere Taggelder der Arbeitslosenversicherung (vgl. Kreisschreiben Ã¼ber die Taggelder der Invalidenversicherung, Rz. 1069 f.) - ausgeschlossen werden. Es erscheint denn auch so, dass X.___ nach abgeschlossener Umschulung im kaufmÃ¤nnischen Bereich ein rentenausschliessendes Einkommen wird erzielen kÃ¶nnen. Der Vorsorgefall "InvaliditÃ¤t" wird damit voraussichtlich nicht eintreten und war jedenfalls bei Datum der Rechtskraft des Scheidungsurteils am 12. April 2011 nicht eingetreten. Die vom Einzelrichter des Bezirkes A.___ angeordnete hÃ¤lftige Teilung erweist sich demnach als durchfÃ¼hrbar. Anzumerken bleibt im Ãbrigen, dass allfÃ¤llige VorsorgeansprÃ¼che von X.___ gegenÃ¼ber der Sammelstiftung ohnehin nicht gefÃ¤hrdet sind, da ihre Austrittsleistung im Ergebnis nicht geschmÃ¤lert wird, weil sie von ihrem geschiedenen Ehemann Y.___ wesentlich mehr erhÃ¤lt als sie diesem abgeben muss. Dieser Umstand wÃ¤re mithin auch beim Festlegen der angemessenen EntschÃ¤digung im Sinne von Art. 124 ZGB durch das Scheidungsgericht zu berÃ¼cksichtigen gewesen.</w:t>
      </w:r>
    </w:p>
    <w:p>
      <w:r>
        <w:t>4.Â Â Â Â Â Â  Das wÃ¤hrend der Ehedauer angesparte Vorsorgeguthaben von Y.___ betrÃ¤gt per 12. April 2011 Fr. 118'065.95 (Urk. 7/2). Hieraus hat X.___ einen Anspruch auf Fr. 59'032.95 (Fr. 118'065.95 : 2). Das wÃ¤hrend der Ehedauer angesparte Vorsorgeguthaben von X.___ betrÃ¤gt per 12. April 2011 Fr. 5'356.70 (Urk. 19). Der Y.___ zustehende hÃ¤lftige Anspruch belÃ¤uft sich auf Fr. 2'678.35 (Fr. 5'356.70 : 2). Die Differenz der Summen betrÃ¤gt Fr. 56'354.60 (Fr. 59'032.95 - Fr. 2'678.35) zu Gunsten von X.___. Die Z.___ ist folglich zu verpflichten, Fr. 56'354.60 zulasten von Y.___ auf das Konto von X.___ zu Ã¼bertragen.</w:t>
      </w:r>
    </w:p>
    <w:p>
      <w:r>
        <w:rPr>
          <w:b/>
        </w:rPr>
        <w:t>E. 5</w:t>
      </w:r>
    </w:p>
    <w:p>
      <w:r>
        <w:t>5.1Â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gemÃ¤ss Art. 12 der Verordnung Ã¼ber die berufliche Alters-, Hinterlassenen und Invalidenvorsorge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der Verordnung Ã¼ber die FreizÃ¼gigkeit in der beruflichen Alters-, Hinterlassenen- und Invalidenvorsorge (FZV) bei der Teilung der Austrittsleistung infolge Scheidung ebenfalls auf den im entsprechenden Zeitraum gÃ¼ltigen Zinssatz nach Art. 12 BVV 2 verweist (BGE 129 V 257 Erw.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5.2Â Â Â Â  Aus den vorangehenden ErwÃ¤gungen folgt, dass die Z.___ auf der X.___ geschuldeten Austrittsleistung ab 12. April 2011 einen Zins in reglementarischer oder gesetzlicher (Mindest-)HÃ¶he (vgl. Art. 12 lit. f BVV 2) bis zum Zeitpunkt der Ãberweisung zu entrichten hat. Ab dem 31. Tag nach Vorlage aller fÃ¼r die Ãberweisung der Austrittsleistung erforderlichen Angaben wÃ¤re ein Verzugszins von 3,0 % (vgl. Art. 7 FZV in Verbindung mit Art. 12 lit. f BVV 2) zu bezahlen.</w:t>
      </w:r>
    </w:p>
    <w:p>
      <w:r>
        <w:rPr>
          <w:b/>
        </w:rPr>
        <w:t>E. 6</w:t>
      </w:r>
    </w:p>
    <w:p>
      <w:r>
        <w:t>6.1Â Â Â Â  AusgangsgemÃ¤ss ist die unentgeltliche Rechtsvertreterin von X.___, RechtsanwÃ¤ltin FrÃ¶hlich, aus der Gerichtskasse zu entschÃ¤digen. Vorliegend erscheint eine EntschÃ¤digung von Fr. 500.-- als den UmstÃ¤nden des Falles angemessen.</w:t>
      </w:r>
    </w:p>
    <w:p>
      <w:r>
        <w:t>6.2Â Â Â Â  Kommt X.___ kÃ¼nftig in gÃ¼nstige wirtschaftliche VerhÃ¤ltnisse, so kann sie das Gericht zur Nachzahlung der Auslagen fÃ¼r die unentgeltliche Rechtspflege verpflichten (Â§ 16 Abs. 4 des Gesetzes Ã¼ber das Sozialversicherungsgericht [GSVGer]).</w:t>
      </w:r>
    </w:p>
    <w:p>
      <w:r>
        <w:t>Das Gericht erkennt:</w:t>
      </w:r>
    </w:p>
    <w:p>
      <w:r>
        <w:t>1.Â Â Â Â Â Â Â Â  Die Z.___ wird verpflichtet, den Betrag von Fr. 56'354.60 zulasten von Y.___ auf das bei ihr bestehende Konto von X.___ zu Ã¼bertragen, wobei der genannte Betrag ab 12. April 2011 im Sinne der ErwÃ¤gungen zu verzinsen ist.</w:t>
      </w:r>
    </w:p>
    <w:p>
      <w:r>
        <w:t>2.Â Â Â Â Â Â Â Â  Das Verfahren ist kostenlos.</w:t>
      </w:r>
    </w:p>
    <w:p>
      <w:r>
        <w:t>3.Â Â Â Â Â Â Â Â  Die unentgeltliche Rechtsvertreterin von X.___, RechtsanwÃ¤ltin Korinna FrÃ¶hlich, MÃ¤nnedorf, wird mit Fr. 500.-- (inkl. Barauslagen und MWSt) aus der Gerichtskasse entschÃ¤digt. X.___ wird auf Â§ 16 Abs. 4 GSVGer hingewiesen.</w:t>
      </w:r>
    </w:p>
    <w:p>
      <w:r>
        <w:t>4.Â Â Â Â Â Â Â Â  Zustellung gegen Empfangsschein an:</w:t>
      </w:r>
    </w:p>
    <w:p>
      <w:r>
        <w:t>- RechtsanwÃ¤ltin Korinna FrÃ¶hlich unter Beilage einer Kopie von Urk. 23</w:t>
      </w:r>
    </w:p>
    <w:p>
      <w:r>
        <w:t>- Rechtsanwalt Stephan Buchli unter Beilage des Doppels von Urk. 22</w:t>
      </w:r>
    </w:p>
    <w:p>
      <w:r>
        <w:t>- Z.___ unter Beilage je einer Kopie von Urk. 22 und Urk. 23</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