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BV.2011.00025 vom 29. September 2011</w:t>
      </w:r>
    </w:p>
    <w:p>
      <w:r>
        <w:t>ZH Sozialversicherungsgericht, 2011-09-29, DE</w:t>
      </w:r>
    </w:p>
    <w:p>
      <w:r>
        <w:rPr>
          <w:b/>
        </w:rPr>
        <w:t xml:space="preserve">Quelle: </w:t>
      </w:r>
      <w:r>
        <w:t>https://mcp.opencaselaw.ch/entscheid/zh_sozialversicherungsgericht_BV.2011.00025</w:t>
      </w:r>
    </w:p>
    <w:p>
      <w:r>
        <w:t>FR: ZH_SOZIALVERSICHERUNGSGERICHT BV.2011.00025 du 29 septembre 2011</w:t>
      </w:r>
    </w:p>
    <w:p>
      <w:r>
        <w:t>IT: ZH_SOZIALVERSICHERUNGSGERICHT BV.2011.00025 del 29 settembre 2011</w:t>
      </w:r>
    </w:p>
    <w:p>
      <w:pPr>
        <w:pStyle w:val="Heading2"/>
      </w:pPr>
      <w:r>
        <w:t>Erwägungen</w:t>
      </w:r>
    </w:p>
    <w:p>
      <w:r>
        <w:rPr>
          <w:b/>
        </w:rPr>
        <w:t>E. 1</w:t>
      </w:r>
    </w:p>
    <w:p>
      <w:r>
        <w:t>1.1Â Â Â Â  Nach Art. 122 Abs. 1 des Zivilgesetzbuches (ZGB) hat jeder Ehegatte Anspruch auf die HÃ¤lfte der nach dem FreizÃ¼gigkeitsgesetz (Bundesgesetz Ã¼ber die FreizÃ¼gigkeit in der beruflichen Alters-, Hinterlassenen- und Invalidenvorsorge, FZG) fÃ¼r die Ehedauer zu ermittelnden Austrittsleistung des anderen Ehegatten, wenn ein Ehegatte einer Einrichtung der beruflichen Vorsorge angehÃ¶rt oder beide Ehegatten einer solchen angehÃ¶ren und bei keinem Ehegatten ein Vorsorgefall eingetreten ist. Stehen den Ehegatten gegenseitig AnsprÃ¼che zu, so ist nur der Differenzbetrag zu teilen (Art. 122 Abs. 2 ZGB).</w:t>
      </w:r>
    </w:p>
    <w:p>
      <w:r>
        <w:t>Â Â Â Â Â Â Â Â  Ist bei einem oder bei beiden Ehegatten ein Vorsorgefall bereits eingetreten oder kÃ¶nnen aus andern GrÃ¼nden AnsprÃ¼che aus der beruflichen Vorsorge, die wÃ¤hrend der Dauer der Ehe erworben worden sind, nicht geteilt werden, so ist eine angemessene EntschÃ¤digung geschuldet (Art. 124 Abs. 1 ZGB).</w:t>
      </w:r>
    </w:p>
    <w:p>
      <w:r>
        <w:t>1.2Â Â Â Â  Laut Art. 142 Abs. 1 ZGB in der bis zum 31. Dezember 2010 anwendbar gewesenen Fassung entscheidet das (Scheidungs-)Gericht Ã¼ber das VerhÃ¤ltnis, in welchem die Austrittsleistungen zu teilen sind, wenn keine Vereinbarung zustande kommt. Sobald der Entscheid Ã¼ber das TeilungsverhÃ¤ltnis rechtskrÃ¤ftig ist, Ã¼berweist das Gericht die Streitsache von Amtes wegen dem nach dem FreizÃ¼gigkeitsgesetz zustÃ¤ndigen Gericht (Art. 142 Abs. 2 ZGB in der bis zum 31. Dezember 2010 anwendbar gewesenen Fassung). GemÃ¤ss Abs. 3 derselben Bestimmung (in der bis zum 31. Dezember 2010 anwendbar gewesenen Fassung) ist diesem insbesondere der Entscheid Ã¼ber das TeilungsverhÃ¤ltnis (Ziff. 1), das Datum der Eheschliessung und das Datum der Ehescheidung (Ziff. 2), die Einrichtungen der beruflichen Vorsorge, bei denen den Ehegatten voraussichtlich Guthaben zustehen (Ziff. 3), und die HÃ¶he der Guthaben der Ehegatten, die diese Einrichtungen gemeldet haben (Ziff. 4), mitzuteilen.</w:t>
      </w:r>
    </w:p>
    <w:p>
      <w:r>
        <w:t>2.Â Â Â Â Â Â  Die Einzelrichterin des Bezirkes B.___ meldete mit VerfÃ¼gung vom 15. MÃ¤rz 2011 (Urk. 1/1) alle notwendigen Eckdaten fÃ¼r die Teilung der Austrittsleistungen (Eheschluss: 30. Dezember 1989; Rechtskraft der Scheidung: 8. Februar 2011; TeilungsverhÃ¤ltnis: 1/2 - 1/2; Vorsorgeeinrichtung KlÃ¤gerin: Z.___; Vorsorgeeinrichtung Beklagter: A.___; Guthaben KlÃ¤gerin: Fr. 85'435.10; Guthaben Beklagter: Fr. 55'825.50).Â</w:t>
      </w:r>
    </w:p>
    <w:p>
      <w:r>
        <w:t>3.Â Â Â Â Â Â  Die Scheidungsparteien stellten im vorliegenden Verfahren keine AntrÃ¤ge und liessen sich unter Hinweis, dass bei Stillschweigen von der Richtigkeit und VollstÃ¤ndigkeit der eingereichten Abrechnungen ausgegangen werde (Urk. 4), nicht vernehmen. Da sich auch aus den Akten keine Hinweise auf Unstimmigkeiten ergeben, ist von der Richtigkeit und VollstÃ¤ndigkeit der Angaben der Vorsorgeeinrichtungen auszugehen. Im Weiteren ist davon auszugehen, dass die gemeldeten Guthaben vollstÃ¤ndig wÃ¤hrend der Ehe einbezahlt worden sind.</w:t>
      </w:r>
    </w:p>
    <w:p>
      <w:r>
        <w:t>4.Â Â Â Â Â Â  Das wÃ¤hrend der Ehedauer angesparte Vorsorgeguthaben von X.___ betrÃ¤gt per 8. Februar 2011 Fr. 85'435.10 (Urk. 2/37). Hieraus hat Y.____ einen Anspruch auf Fr. 42'717.55 (Fr. 85'435.10 : 2). Das wÃ¤hrend der Ehedauer angesparte Vorsorgeguthaben von Y.___ betrÃ¤gt per 8. Februar 2011 Fr. 55'825.50 (Urk. 2/38). Der X.___ zustehende hÃ¤lftige Anspruch belÃ¤uft sich auf Fr. 27'912.75 (Fr. 55'825.50Â  : 2). Die Differenz der Summen betrÃ¤gt Fr. 14'804.80 (Fr. 42'717.55 - Fr. 27'912.75) zu Gunsten von Y.___. Die Z.___ ist folglich zu verpflichten, Fr. 14'804.80 zulasten von X.___ auf das FreizÃ¼gigkeitskonto von Y.___ bei der A.___ zu Ã¼berweisen.</w:t>
      </w:r>
    </w:p>
    <w:p>
      <w:r>
        <w:rPr>
          <w:b/>
        </w:rPr>
        <w:t>E. 5</w:t>
      </w:r>
    </w:p>
    <w:p>
      <w:r>
        <w:t>5.1Â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Erw. 2.3) - an bis zum Zeitpunkt der Ãberweisung oder des Beginns der Verzugszinspflicht zu verzinsen. Dabei hat die Vorsorgeeinrichtung fÃ¼r den Bereich des Obligatoriums auf der Austrittsleistung den Mindestzinssatz gemÃ¤ss Art. 12 der Verordnung Ã¼ber die berufliche Alters-, Hinterlassenen und Invalidenvorsorge (BVV 2) (lit. f: 2,0 % ab 1. Januar 2009)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der Verordnung Ã¼ber die FreizÃ¼gigkeit in der beruflichen Alters-, Hinterlassenen- und Invalidenvorsorge (FZV) bei der Teilung der Austrittsleistung infolge Scheidung ebenfalls auf den im entsprechenden Zeitraum gÃ¼ltigen Zinssatz nach Art. 12 BVV 2 verweist (BGE 129 V 257 Erw. 4.1).</w:t>
      </w:r>
    </w:p>
    <w:p>
      <w:r>
        <w:t>Â Â Â Â Â Â Â Â  Art. 2 Abs. 4 FZG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Erw.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5.2Â Â Â Â  Aus den vorangehenden ErwÃ¤gungen folgt, dass die Z.___ auf der Y.___ geschuldeten Austrittsleistung ab 8. Februar 2011 einen Zins in reglementarischer oder gesetzlicher (Mindest-)HÃ¶he (vgl. Art. 12 lit. f BVV 2) bis zum Zeitpunkt der Ãberweisung zu entrichten hat. Ab dem 31. Tag nach Vorlage aller fÃ¼r die Ãberweisung der Austrittsleistung erforderlichen Angaben wÃ¤re ein Verzugszins von 3,0 % (vgl. Art. 7 FZV in Verbindung mit Art. 12 lit. f BVV 2) zu bezahlen.</w:t>
      </w:r>
    </w:p>
    <w:p>
      <w:r>
        <w:t>Das Gericht erkennt:</w:t>
      </w:r>
    </w:p>
    <w:p>
      <w:r>
        <w:t>1.Â Â Â Â Â Â Â Â  Die Z.___ wird verpflichtet, den Betrag von Fr. 14'804.80 zulasten von X.___ auf das FreizÃ¼gigkeitskonto von Y.___ bei der A.___ zu Ã¼berweisen, wobei der genannte Betrag ab 8. Februar 2011 im Sinne der ErwÃ¤gungen zu verzinsen ist.</w:t>
      </w:r>
    </w:p>
    <w:p>
      <w:r>
        <w:t>2.Â Â Â Â Â Â Â Â  Das Verfahren ist kostenlos.</w:t>
      </w:r>
    </w:p>
    <w:p>
      <w:r>
        <w:t>3.Â Â Â Â Â Â Â Â Â Â  Zustellung gegen Empfangsschein an:</w:t>
      </w:r>
    </w:p>
    <w:p>
      <w:r>
        <w:t>- Rechtsanwalt Daniel Bohren</w:t>
      </w:r>
    </w:p>
    <w:p>
      <w:r>
        <w:t>- Y.___</w:t>
      </w:r>
    </w:p>
    <w:p>
      <w:r>
        <w:t>- Z.___</w:t>
      </w:r>
    </w:p>
    <w:p>
      <w:r>
        <w:t>- A.___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