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BV.2011.00013 vom 29. November 2012</w:t>
      </w:r>
    </w:p>
    <w:p>
      <w:r>
        <w:t>ZH Sozialversicherungsgericht, 2012-11-29, DE</w:t>
      </w:r>
    </w:p>
    <w:p>
      <w:r>
        <w:rPr>
          <w:b/>
        </w:rPr>
        <w:t xml:space="preserve">Quelle: </w:t>
      </w:r>
      <w:r>
        <w:t>https://mcp.opencaselaw.ch/entscheid/zh_sozialversicherungsgericht_BV.2011.00013</w:t>
      </w:r>
    </w:p>
    <w:p>
      <w:r>
        <w:t>FR: ZH_SOZIALVERSICHERUNGSGERICHT BV.2011.00013 du 29 novembre 2012</w:t>
      </w:r>
    </w:p>
    <w:p>
      <w:r>
        <w:t>IT: ZH_SOZIALVERSICHERUNGSGERICHT BV.2011.00013 del 29 novembre 2012</w:t>
      </w:r>
    </w:p>
    <w:p>
      <w:pPr>
        <w:pStyle w:val="Heading2"/>
      </w:pPr>
      <w:r>
        <w:t>Erwägungen</w:t>
      </w:r>
    </w:p>
    <w:p>
      <w:r>
        <w:rPr>
          <w:b/>
        </w:rPr>
        <w:t>E. 1</w:t>
      </w:r>
    </w:p>
    <w:p>
      <w:r>
        <w:t>1.1Â Â Â Â  GemÃ¤ss Art. 34a Abs. 1 des Bundesgesetzes Ã¼ber die berufliche Alters-, Hinterlassenen- und Invalidenvorsorge (BVG) erlÃ¤sst der Bundesrat Vorschriften zur Verhinderung ungerechtfertigter Vorteile des Versicherten oder seiner Hinterlassenen beim Zusammentreffen mehrerer Leistungen. GestÃ¼tzt darauf bestimmt Art. 24 der Verordnung Ã¼ber die berufliche Alters-, Hinterlassenen- und Invalidenvorsorge (BVV 2), dass die Vorsorgeeinrichtung die Hinterlassenen- und Invalidenleistungen kÃ¼rzen kann, soweit sie zusammen mit anderen anrechenbaren EinkÃ¼nften 90 Prozent des mutmasslich entgangenen Verdienstes Ã¼bersteigen (Abs. 1). Als anrechenbare EinkÃ¼nfte gelten Leistungen gleicher Art und Zweckbestimmung,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oder zumutbarerweise noch erzielbare Erwerbs- oder Ersatzeinkommen angerechnet (Abs. 2).</w:t>
      </w:r>
    </w:p>
    <w:p>
      <w:r>
        <w:t>1.2Â Â Â Â  Die Vorsorgeeinrichtungen kÃ¶nnen sich im Ãberobligatoriumsbereich weitgehend frei einrichten (Art. 49 Abs. 1 BVG), sie haben dabei aber den verfassungsmÃ¤ssigen Minimalstandard (rechtsgleiche Behandlung, WillkÃ¼rverbot, VerhÃ¤ltnismÃ¤ssigkeit) zu wahren. Im Ãberobligatorium gelten daher nicht Art. 34a BVG und Art. 24 BVV 2, sondern die reglementarischen Bestimmungen, welche auch strenger sein kÃ¶nnen als diejenigen der BVV 2, solange die Leistungen gemÃ¤ss Obligatorium eingehalten werden (Urteil des Bundesgerichts 9C_37/2010 vom 4. August 2010 E. 2.2 mit Hinweisen).</w:t>
      </w:r>
    </w:p>
    <w:p>
      <w:r>
        <w:t>1.3Â Â Â Â  Nach Art. 5 des Reglements der Beklagten vom 29. MÃ¤rz 1995 (Reglement; Urk. 2/10) gilt als anrechenbarer Lohn der Jahreslohn, vermindert um einen Koordinationsabzug zur BerÃ¼cksichtigung der Leistungen aus der AHV und der IV (Abs. 1). Als Jahreslohn gilt fÃ¼r Vorsorgeberater der Durchschnitt des Jahresverdienstes (Fixum, Abschlussprovision fÃ¼r Einzelversicherungen, PrÃ¤mienentwicklungs-Provision fÃ¼r Einzelversicherungen, BetreuungsprÃ¤mien-Provision fÃ¼r Einzelversicherungen, Abschlussprovision fÃ¼r Kollektivversicherungen, BetreuungsprÃ¤mien-Provision fÃ¼r Kollektivversicherungen sowie ausbezahlte Taggelder) der letzten drei Kalenderjahre. Ist ein Vorsorgeberater noch keine drei Kalenderjahre in seiner Funktion fÃ¼r die Stifterfirma tÃ¤tig, so entspricht sein Jahreslohn dem Durchschnittslohn, welchen die Vorsorgeberater in den drei dem Aufnahmejahr der versicherten Person in die Stiftung vorangehenden Kalenderjahren erzielt haben (Abs. 2 Ziff. 4). Der Koordinationsabzug entspricht 130 % der einfachen AHV-Altersrente, die sich nach der AHV-Rentenformel aufgrund des Jahreslohns ergibt (Abs. 3). Der anrechenbare Lohn wird auf einen vom Stiftungsrat festzusetzenden Betrag begrenzt (Abs. 4).</w:t>
      </w:r>
    </w:p>
    <w:p>
      <w:r>
        <w:t>1.4Â Â Â Â  GemÃ¤ss Art. 13 des Reglements kÃ¼rzt die Stiftung ihre Leistungen in dem Masse, in dem Leistungen gemÃ¤ss UVG oder MVG fÃ¤llig werden (Abs. 1). Die Leistungen, die der versicherten Person oder bei ihrem Tode ihren Hinterlassenen gemÃ¤ss diesem Reglement zukommen, dÃ¼rfen zusammen mit anderen anrechenbaren EinkÃ¼nften nicht hÃ¶her sein als 90 % des hÃ¶chsten erreichten Jahreslohnes beziehungsweise 90 % des letzten Jahresbezuges (Jahreslohn plus TreueprÃ¤mie) bei Angestellten auf den Generalagenturen und Regionalverkaufszentren (Abs. 2). Als anrechenbare EinkÃ¼nfte gelten Renten, Taggelder oder Kapitalleistungen von in- und auslÃ¤ndischen Sozialversicherungen und Vorsorgeeinrichtungen. Keine anrechenbaren EinkÃ¼nfte sind HilflosenentschÃ¤digungen, Abfindungen und Ã¤hnliche Leistungen. Ehepaarrenten sind zu</w:t>
      </w:r>
    </w:p>
    <w:p>
      <w:r>
        <w:rPr>
          <w:b/>
        </w:rPr>
        <w:t>E. 2</w:t>
      </w:r>
    </w:p>
    <w:p>
      <w:r>
        <w:t>/</w:t>
      </w:r>
    </w:p>
    <w:p>
      <w:r>
        <w:rPr>
          <w:b/>
        </w:rPr>
        <w:t>E. 3</w:t>
      </w:r>
    </w:p>
    <w:p>
      <w:r>
        <w:t>3.1Â Â Â Â  Strittig ist das fÃ¼r die Berechnung der ÃberentschÃ¤digungslimite massgebende SalÃ¤r beziehungsweise die Frage, was unter dem ÂhÃ¶chsten erreichten JahreslohnÂ im Sinne von Art. 13 Abs. 2 des Reglements zu verstehen ist. Im Sinne des allgemein Ã¼blichen Sprachgebrauchs bedeutet der fragliche Ausdruck, dass der hÃ¶chste wÃ¤hrend des gesamten Arbeits- beziehungsweise VorsorgeverhÃ¤ltnisses in einem (Kalender-)Jahr erzielte Verdienst massgebend ist. So durfte und musste der KlÃ¤ger die fragliche Bestimmung denn aufgrund der konkreten UmstÃ¤nde auch in guten Treuen interpretieren. Dass der ÂJahreslohnÂ nach Art. 13 Abs. 2 klarerweise unter die in Art. 5 Abs. 2 Ziff. 4 des Reglements enthaltene Definition dieses Begriffs falle, wie dies die Beklagte geltend machte (Urk. 8 S. 4), ist nÃ¤mlich unzutreffend. Zwar gilt gemÃ¤ss Art. 5 Abs. 2 Ziff. 4 des Reglements fÃ¼r Vorsorgeberater der Durchschnitt des Jahresverdienstes der letzten drei Kalenderjahre als Jahreslohn im Sinne von Art. 5 Abs. 1 des Reglements. Die fragliche Bestimmung ist indes nicht als im Rahmen des Reglements generell gÃ¼ltige Legaldefinition des Begriffs Jahreslohn zu interpretieren, bezieht sie sich doch explizit auf den anrechenbaren Lohn, um den es im vorliegend relevanten - nicht auf Art. 5 Abs. 2 verweisenden - Art. 13 Abs. 2 nicht geht. Angesichts der im Reglement uneinheitlichen Begriffsverwendung fÃ¼r das wÃ¤hrend eines Kalenderjahres erzielte Einkommen - hinzuweisen ist diesbezÃ¼glich etwa darauf, dass in Art. 6 des Reglements mit Jahreslohn offensichtlich der wÃ¤hrend eines Jahres erzielte und nicht etwa der in Art. 5 Abs. 2 definierte Lohn gemeint ist - erstaunt es denn auch nicht, dass im Stichwortverzeichnis unter dem Begriff ÂJahreslohnÂ ausschliesslich Art. 5 Abs. 2 angefÃ¼hrt wird (Urk. 2/10 S. 21). Gegen eine Interpretation von Art. 13 Abs. 2 im von der Beklagten geltend gemachten Sinne spricht Ã¼berdies der Umstand, dass nach der genannten Norm der hÃ¶chste erreichte Lohn als massgebend bezeichnet wird, was, hÃ¤tte die Ermittlung der ÃberentschÃ¤digungslimite tatsÃ¤chlich gestÃ¼tzt auf den Durchschnittswert der letzten drei Jahre zu erfolgen (Art. 5 Abs. 2 Ziff. 4), vÃ¶llig unsinnig wÃ¤re. Davon, dass in Art. 13 Abs. 2 - entgegen Art. 5 Abs. 2 Ziff. 4 - nicht der Mittelwert der LÃ¶hne der letzten drei Jahre gemeint sei, kann schon deshalb nicht ausgegangen werden, weil ansonsten fÃ¼r den Fall, dass der Durchschnittswert der in den letzten drei Kalenderjahren (in casu: 1995, 1996 und 1997) generierten LÃ¶hne verglichen mit den in den Jahren zuvor erzielten SalÃ¤ren eher niedrig ausfÃ¤llt, eine Bestimmung betreffend die Ermittlung des hÃ¶chsten erreichten Jahreslohns vorhanden sein mÃ¼sste. Eine Norm, die festlegt, ob nun statt der Periode 1995-1997 die drei vorangehenden Jahre (1992-1994) heranzuziehen seien oder ob auf die Einkommen beliebiger drei aufeinander folgenden Jahre, so etwa die Zeitspanne von 1994 bis 1998, abgestellt werden kÃ¶nne, fehlt indes.</w:t>
      </w:r>
    </w:p>
    <w:p>
      <w:r>
        <w:t>3.2Â Â Â Â  Nach dem Gesagten ist die ÃberentschÃ¤digungsgrenze nicht aufgrund des Mittelwerts der letzten drei JahreslÃ¶hne, sondern gestÃ¼tzt auf den hÃ¶chsten in einem Kalenderjahr erreichten Lohn festzusetzen. Dabei handelt es sich unbestrittenermassen um das im Jahr 1997 generierte SalÃ¤r. Da dieses jedenfalls Ã¼ber Fr. 180Â000.- lag (Urk. 1 S. 5, Urk. 2/11, Urk. 8 S. 6, Urk. 9) und die gemÃ¤ss Art. 13 des Reglements anrechenbaren EinkÃ¼nfte (Urk. 2/5 S. 2) den massgebenden Wert von 90 % dieses Betrages demnach - unabhÃ¤ngig von der genauen (strittigen) HÃ¶he des Einkommens - nicht erreichen, ist die LeistungskÃ¼rzung zu Unrecht erfolgt.</w:t>
      </w:r>
    </w:p>
    <w:p>
      <w:r>
        <w:t>3.3Â Â Â Â  Die Beklagte ist daher zu verpflichten, dem KlÃ¤ger mit Wirkung ab 1. Oktober 2007 ungekÃ¼rzte Invalidenrentenleistungen auszurichten, nebst Zins von 5 % auf den bis zur Klageeinleitung verfallenen Betreffnissen ab dem 14. Februar 2011 sowie auf den seither fÃ¤llig gewordenen Betreffnissen ab dem jeweiligen FÃ¤lligkeitsdatum (Art. 105 Abs. 1 des Obligationenrechts [OR]; vgl. BGE 119 V 131 ff.)</w:t>
      </w:r>
    </w:p>
    <w:p>
      <w:r>
        <w:t>4.Â Â Â Â Â Â  AusgangsgemÃ¤ss ist dem anwaltlich vertretenen KlÃ¤ger gestÃ¼tzt auf Â§ 34 Abs. 1 und 3 des Gesetzes Ã¼ber das Sozialversicherungsgericht (GSVGer) eine ProzessentschÃ¤digung zuzusprechen, wobei ein Betrag von Fr. 1Â400.-- (inklusive Barauslagen und Mehrwertsteuer) als angemessen erscheint.</w:t>
      </w:r>
    </w:p>
    <w:p>
      <w:r>
        <w:t>Das Gericht erkennt:</w:t>
      </w:r>
    </w:p>
    <w:p>
      <w:r>
        <w:t>1.Â Â Â Â Â Â Â Â  In Gutheissung der Klage wird die Beklagte verpflichtet, dem KlÃ¤ger mit Wirkung ab 1. Oktober 2007 ungekÃ¼rzte Invalidenleistungen auszurichten, nebst Zins von 5 % auf den bis zur Klageeinleitung verfallenen Betreffnissen ab dem 14. Februar 2011 sowie auf den seither fÃ¤llig gewordenen Betreffnissen ab dem jeweiligen FÃ¤lligkeitsdatum.</w:t>
      </w:r>
    </w:p>
    <w:p>
      <w:r>
        <w:t>2.Â Â Â Â Â Â Â Â  Das Verfahren ist kostenlos.</w:t>
      </w:r>
    </w:p>
    <w:p>
      <w:r>
        <w:t>3.Â Â Â Â Â Â Â Â  Die Beklagte wird verpflichtet, dem KlÃ¤ger eine ProzessentschÃ¤digung von Fr. 1Â400.-- (inkl. Barauslagen und MWSt) zu bezahlen.</w:t>
      </w:r>
    </w:p>
    <w:p>
      <w:r>
        <w:t>4.Â Â Â Â Â Â Â Â  Zustellung gegen Empfangsschein an:</w:t>
      </w:r>
    </w:p>
    <w:p>
      <w:r>
        <w:t>- Rechtsanwalt Kaspar Saner</w:t>
      </w:r>
    </w:p>
    <w:p>
      <w:r>
        <w:t>- Y.___</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