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BV.2011.00009 vom 14. September 2011</w:t>
      </w:r>
    </w:p>
    <w:p>
      <w:r>
        <w:t>ZH Sozialversicherungsgericht, 2011-09-14, DE</w:t>
      </w:r>
    </w:p>
    <w:p>
      <w:r>
        <w:rPr>
          <w:b/>
        </w:rPr>
        <w:t xml:space="preserve">Quelle: </w:t>
      </w:r>
      <w:r>
        <w:t>https://mcp.opencaselaw.ch/entscheid/zh_sozialversicherungsgericht_BV.2011.00009</w:t>
      </w:r>
    </w:p>
    <w:p>
      <w:r>
        <w:t>FR: ZH_SOZIALVERSICHERUNGSGERICHT BV.2011.00009 du 14 septembre 2011</w:t>
      </w:r>
    </w:p>
    <w:p>
      <w:r>
        <w:t>IT: ZH_SOZIALVERSICHERUNGSGERICHT BV.2011.00009 del 14 settembre 2011</w:t>
      </w:r>
    </w:p>
    <w:p>
      <w:pPr>
        <w:pStyle w:val="Heading2"/>
      </w:pPr>
      <w:r>
        <w:t>Erwägungen</w:t>
      </w:r>
    </w:p>
    <w:p>
      <w:r>
        <w:rPr>
          <w:b/>
        </w:rPr>
        <w:t>E. 2</w:t>
      </w:r>
    </w:p>
    <w:p>
      <w:r>
        <w:t>2.1Â Â Â Â  Mit VerfÃ¼gung vom 3. MÃ¤rz 2011 (Urk. 3) holte das hiesige Gericht bei den von der Scheidungsrichterin genannten Vorsorgeeinrichtungen per Datum der Rechtskraft der Scheidung (18. Januar 2011) aktualisierte Abrechnungen Ã¼ber die zu teilende Austrittsleistung der KlÃ¤gerin und des Beklagten 1 sowie eine BestÃ¤tigung der DurchfÃ¼hrbarkeit der Teilung ein. Ferner wurde der Liquidator der E.___ in Liquidation gebeten, dem Gericht mitzuteilen, von welcher Vorsorgeeinrichtung bei Eintritt des Beklagten 1 in die E.___ am 1. Januar 2008 ein FreizÃ¼gigkeitskapital Ã¼berwiesen worden sei.</w:t>
      </w:r>
    </w:p>
    <w:p>
      <w:r>
        <w:t>2.2Â Â Â Â  Mit Schreiben vom 7. MÃ¤rz 2011 (Urk. 6) bezifferte die C.___ die FreizÃ¼gigkeitsleistung der KlÃ¤gerin per 18. Januar 2011 mit Fr. 28'093.70. Im Zeitpunkt der Heirat habe die KlÃ¤gerin Ã¼ber eine FreizÃ¼gigkeitsleistung von Fr. 708.20, aufgezinst bis zum 18. Januar 2011 von Fr. 1'242.40 verfÃ¼gt. Der Liquidator der E.___ in Liquidation teilte am 14. MÃ¤rz 2011 (Urk. 7) mit, dass die Eintrittsleistung des Beklagten 1 im Zeitpunkt des Eintritts in die E.___ durch die F.___ Ã¼berwiesen worden sei. Die D.___ meldete am 29. MÃ¤rz 2011 (Urk. 9), dass die FreizÃ¼gigkeitsleistung des Beklagten 1 per 18. Januar 2011 Fr. 225'298.68 betrage und zum jetzigen Zeitpunkt kein Vorsorgefall bekannt sei.</w:t>
      </w:r>
    </w:p>
    <w:p>
      <w:r>
        <w:t>2.3Â Â Â Â  Mit VerfÃ¼gung vom 31. MÃ¤rz 2011 (Urk. 11) wurde die F.___ ersucht, dem Gericht mitzuteilen, von welcher Vorsorgeeinrichtung bei Eintritt des Beklagten 1 in F.___ am 1. Oktober 2007 ein FreizÃ¼gigkeitskapital Ã¼berwiesen worden sei. Die F.___ teilte mit Schreiben vom 5. April 2011 (Urk. 13) mit, dass sie mit Valuta 1. Oktober 2007 eine FreizÃ¼gigkeitsleistung zu Gunsten des Beklagten 1 in der HÃ¶he von Fr. 195'513.25 von der E.___ erhalten habe. Hierauf wurde der Liquidator der E.___ in Liquidation mit VerfÃ¼gung vom 13. August 2011 (Urk. 15) gebeten, dem Gericht mitzuteilen, von welcher Vorsorgeeinrichtung bei Eintritt des Beklagten 1 in die E.___ am 1. August 2007 ein FreizÃ¼gigkeitskapital zu dessen Gunsten Ã¼berwiesen worden sei. Dieser schrieb am 27. April 2011 (Urk. 17), dass der Beklagte 1 vom 1. September 1986 bis zum 28. Februar 2007 bei der G.___ angestellt und bei der E.___ vorsorgeversichert gewesen sei. Mit Eintrittsdatum am 1. August 2007 sei er - mit Austritt am 30. Juni 2007 von der H.___ herkommend - bei der I.___ angemeldet worden, welche ebenfalls bei der E.___ angeschlossen gewesen sei. Mit gleichem Datum sei aber auch wieder der Austritt gemeldet worden. Somit seien keine BeitrÃ¤ge, sondern nur Zinsen vom 1. August bis 1. Oktober 2007 gutgeschrieben worden. Die Austrittsleistung sei - wie bereits mitgeteilt - an die F.___ Ã¼berwiesen worden. Vom 1. Februar 2008 bis 31. Oktober 2009 sei der Beklagte 1 bei der J.___ angestellt und wiederum bei der E.___ vorsorgeversichert gewesen. Bei Austritt aus der J.___ sei das FreizÃ¼gigkeitskapital an die D.___ Ã¼berwiesen worden.</w:t>
      </w:r>
    </w:p>
    <w:p>
      <w:r>
        <w:t>2.4Â Â Â Â  Nachdem der Nachweis der FreizÃ¼gigkeitsleistung des Beklagten 1 lÃ¼ckenlos erbracht war, errechnete das hiesige Gericht in der VerfÃ¼gung vom 23. MÃ¤rz 2011 (Urk. 19) ein wÃ¤hrend der Ehe geÃ¤ufnetes und zu teilendes FreizÃ¼gigkeitskapital des Beklagten 1 von Fr. 156'307.58. Ausserdem wurde der KlÃ¤gerin und dem Beklagten 1 Gelegenheit gegeben, zu den Abrechnungen der Vorsorgeeinrichtungen sowie der vom Gericht vorzunehmenden Teilung Stellung zu nehmen. WÃ¤hrend sich der Beklagte 1 innert Frist nicht vernehmen liess, verzichtete die KlÃ¤gerin am 15. Juni 2011 (Urk. 24) auf Stellungnahme.</w:t>
      </w:r>
    </w:p>
    <w:p>
      <w:r>
        <w:t>Das Gericht zieht in ErwÃ¤gung:</w:t>
      </w:r>
    </w:p>
    <w:p>
      <w:r>
        <w:t>1.</w:t>
      </w:r>
    </w:p>
    <w:p>
      <w:r>
        <w:t>1.1Â Â Â Â  Art. 122 Abs. 1 des Schweizerischen Zivilgesetzbuches (ZGB) rÃ¤umt als Scheidungsfolge jedem Ehegatten Anspruch auf die HÃ¤lfte der nach dem FreizÃ¼gigkeitsgesetz vom 17. Dezember 1993 fÃ¼r die Ehedauer zu ermittelnden Austrittsleistung des anderen Ehegatten ein, wenn ein Ehegatte oder beide Ehegatten einer Einrichtung der beruflichen Vorsorge angehÃ¶ren und bei keinem Ehegatten ein Vorsorgefall eingetreten ist (vgl. BGE 130 III 297 E. 3.3). Dabei sind grundsÃ¤tzlich sÃ¤mtliche AnsprÃ¼che aus VorsorgeverhÃ¤ltnissen zu teilen, die dem FZG unterstehen, somit auch FreizÃ¼gigkeitspolicen oder FreizÃ¼gigkeitskonti im Sinne von Art. 10 FZV. Dies kommt auch im Wortlaut von Art. 22 Abs. 2 FZG zum Ausdruck, wonach bei der Ermittlung der zu teilenden Austrittsleistung auch allfÃ¤llige "FreizÃ¼gigkeitsguthaben" ("avoirs de libre passage"; "averi di libero passaggio") zu berÃ¼cksichtigen sind. Von der Teilung nach Art. 122 ZGB werden mithin sÃ¤mtliche AnsprÃ¼che aus den SÃ¤ulen 2a und 2b (dazu BGE 129 III 305) erfasst. Nicht darunter fallen hingegen die AnsprÃ¼che aus der ersten und der dritten SÃ¤ule (BGE 130 V 111 E. 3.2.2 mit Hinweisen auf Doktrin und Materialien).</w:t>
      </w:r>
    </w:p>
    <w:p>
      <w:r>
        <w:t>Â Â Â Â Â Â Â Â  Hat ein erwerbstÃ¤tiger Ehegatte bereits einen Vorsorgefall erlebt oder kÃ¶nnen aus anderen GrÃ¼nden AnsprÃ¼che aus der beruflichen Vorsorge, die wÃ¤hrend der Ehe erworben worden sind, nicht geteilt werden, so steht dem anspruchsberechtigten Ehegatten nach Art. 124 Abs. 1 ZGB eine angemessene EntschÃ¤digung zu. Diese Norm schliesst nicht nur den Eintritt des Vorsorgefalles ein, sondern erfasst auch andere VorgÃ¤nge, deretwegen die Austrittsleistung nicht mehr geteilt werden kann, wie beispielsweise die wÃ¤hrend der Ehe vorgenommenen Barauszahlungen des Vorsorgeguthabens (BGE 128 V 41 E. 2b, 127 III 433 E. 2b mit Hinweisen).</w:t>
      </w:r>
    </w:p>
    <w:p>
      <w:r>
        <w:t>1.2Â Â Â Â  Laut Art. 142 Abs. 1 ZGB entscheidet das (Scheidungs-)Gericht Ã¼ber das VerhÃ¤ltnis, in welchem die Austrittsleistungen zu teilen sind, wenn keine Vereinbarung zustande kommt. Sobald der Entscheid Ã¼ber das TeilungsverhÃ¤ltnis rechtskrÃ¤ftig ist, Ã¼berweist das Gericht die Streitsache von Amtes wegen dem nach FreizÃ¼gigkeitsgesetz zustÃ¤ndigen Gericht (Art. 142 Abs. 2 ZGB). GemÃ¤ss Abs. 3 derselben Bestimmung ist diesem insbesondere der Entscheid Ã¼ber das TeilungsverhÃ¤ltnis (Ziff. 1), das Datum der Eheschliessung und das Datum der Ehescheidung (Ziff. 2), die Einrichtungen der beruflichen Vorsorge, bei denen den Ehegatten voraussichtlich Guthaben zustehen (Ziff.3) und die HÃ¶he der Guthaben der Ehegatten, die diese Einrichtungen gemeldet haben (Ziff. 4), mitzuteilen.</w:t>
      </w:r>
    </w:p>
    <w:p>
      <w:r>
        <w:t>2.Â Â Â Â Â Â  Die Einzelrichterin am Bezirksgericht Y.___ meldete mit VerfÃ¼gung vom 1. Februar 2011 (Urk. 1) alle notwendigen Eckdaten fÃ¼r die Teilung der Austrittsleistungen (Eheschluss: 2. September 1993; Rechtskraft der Scheidung: 18. Januar 2011; TeilungsverhÃ¤ltnis: 1/2 - 1/2; Vorsorgeeinrichtung KlÃ¤gerin: C.___; Vorsorgeeinrichtung des Beklagten 1: D.___).</w:t>
      </w:r>
    </w:p>
    <w:p>
      <w:r>
        <w:t>Â Â Â Â Â Â Â Â  Nach Einholen der aktualisierten Angaben der C.___ (Urk. 6) Ã¼ber die HÃ¶he des Guthabens der KlÃ¤gerin und der D.___ (Urk. 9-10) Ã¼ber die HÃ¶he des Guthabens des Beklagten 1 sind die Angaben vollstÃ¤ndig.</w:t>
      </w:r>
    </w:p>
    <w:p>
      <w:r>
        <w:rPr>
          <w:b/>
        </w:rPr>
        <w:t>E. 3</w:t>
      </w:r>
    </w:p>
    <w:p>
      <w:r>
        <w:t>3.1Â Â Â Â  Die Scheidungsparteien stellten im vorliegenden Verfahren keine AntrÃ¤ge und liessen sich unter Hinweis, dass bei Stillschweigen von der Richtigkeit und VollstÃ¤ndigkeit der eingereichten Abrechnungen ausgegangen werde (vgl. Urk. 19), nicht vernehmen. Aus den Akten ergeben sich keine Hinweise auf Unstimmigkeiten, weshalb von der Richtigkeit und VollstÃ¤ndigkeit der Angaben der Vorsorgeeinrichtungen auszugehen ist.</w:t>
      </w:r>
    </w:p>
    <w:p>
      <w:r>
        <w:t>3.2Â Â Â Â  Die vom Gericht berechnete zu teilende Austrittsleistung des Beklagten 1 wurde von keiner der Scheidungspartei in Zweifel gezogen, so dass von einer zu teilenden Austrittsleistung des Beklagten 1 von Fr. 156'307.58 (vgl. Urk. 19) auszugehen ist. Die Austrittsleistung der BeschwerdefÃ¼hrerin betrug am 18. Januar 2011 Fr. 28'093.70, wovon das bis 18. Januar 2011 aufgezinste FreizÃ¼gigkeitskapital im Zeitpunkt der Heirat von Fr. 1'242.40 abzuziehen ist (vgl. Urk. 6), so dass ein zu teilendes Guthaben der KlÃ¤gerin von Fr. 26'851.30 vorliegt.</w:t>
      </w:r>
    </w:p>
    <w:p>
      <w:r>
        <w:t>3.3Â Â Â Â  Somit hat die KlÃ¤gerin Anspruch auf Fr. 78'153.79 (Fr. 156'307.58 : 2) und der Beklagte 1 auf Fr. 13'425.65 (Fr. 26'851.30 : 2) aus dem jeweiligen Vorsorgeguthaben der Gegenpartei. Die Differenz der Summen betrÃ¤gt Fr. 64'728.14 (Fr. 78'153.79 - Fr. 13'425.65) zu Gunsten der KlÃ¤gerin. Demnach ist die D.___ zu verpflichten, den Betrag von (aufgerundet) Fr. 64'728.15 zulasten des Beklagten 1 auf das entsprechende Vorsorgekonto der KlÃ¤gerin bei der C.___ zu Ã¼berweisen.</w:t>
      </w:r>
    </w:p>
    <w:p>
      <w:r>
        <w:rPr>
          <w:b/>
        </w:rPr>
        <w:t>E. 4</w:t>
      </w:r>
    </w:p>
    <w:p>
      <w:r>
        <w:t>4.1Â Â Â Â  GemÃ¤ss der in BGE 129 V 255 ff. Erw. 3 dargelegten Rechtsprechung ist die einem ausgleichsberechtigten Ehegatten im Falle der Scheidung zustehende Austrittsleistung (Art. 122 Abs. 1 ZGB und Art. 22-22c FZG) vom massgebenden Stichtag der Teilung - d.h. dem Zeitpunkt der formellen Rechtskraft des Scheidungsurteils (BGE 132 V 239 Erw. 2.3) - an bis zum Zeitpunkt der Ãberweisung oder des Beginns der Verzugszinspflicht zu verzinsen. Dabei hat die Vorsorgeeinrichtung fÃ¼r den Bereich des Obligatoriums auf der Austrittsleistung den Mindestzinssatz von Art. 12 BVV 2 (lit. f: 2,0 % ab 1. Januar 2009) oder den allenfalls hÃ¶heren reglementarischen Zins zu vergÃ¼ten. UmhÃ¼llende Leistungs- oder Beitragsprimatkassen haben die Austrittsleistung mit dem reglementarischen Zinssatz zu verzinsen, sofern damit im Rahmen der so genannten Schattenrechnung dem BVG-Mindestzinssatz GenÃ¼ge getan wird. FÃ¼r nur in der weitergehenden Vorsorge tÃ¤tige Vorsorgeeinrichtungen gilt ebenfalls in erster Linie der reglementarische Zinssatz. Sieht in diesen beiden FÃ¤llen das Reglement keinen Zinssatz vor, so rechtfertigt es sich, subsidiÃ¤r den in Art. 12 BVV 2 vorgesehenen Mindestzinssatz anzuwenden. Dieses Vorgehen ist angezeigt, da Art. 8a FZV bei der Teilung der Austrittsleistung infolge Scheidung ebenfalls auf den im entsprechenden Zeitraum gÃ¼ltigen Zinssatz nach Art. 12 BVV 2 greift (BGE 129 V 257 Erw. 4.1).</w:t>
      </w:r>
    </w:p>
    <w:p>
      <w:r>
        <w:t>Â Â Â Â Â Â Â Â  Art. 2 Abs. 4 FZG statuiert fÃ¼r den Fall, dass die Vorsorgeeinrichtung die fÃ¤llige Austrittsleistung nicht innert 30 Tagen, nachdem sie die notwendigen Angaben erhalten hat, Ã¼berweist, ab Ende dieser Frist eine Verzugszinspflicht. In betraglicher Hinsicht ist der Verzugszins auf der Austrittsleistung samt dem reglementarischen oder gesetzlichen Zins bis zum Zeitpunkt des Beginns der Verzugszinspflicht zu bezahlen (BGE 129 V 258 Erw. 4.2.3). Der Verzugszinssatz entspricht gemÃ¤ss Art. 26 Abs. 2 FZG in Verbindung mit Art. 7 FZV dem BVG-Mindestsatz (Art. 12 BVV 2) plus ein Prozent. Art. 65d Abs. 4 BVG ist nicht anwendbar (vgl. Urteil des EidgenÃ¶ssischen Versicherungsgerichts vom 6. Juni 2006 in Sachen S., B 17/06).</w:t>
      </w:r>
    </w:p>
    <w:p>
      <w:r>
        <w:t>4.2Â Â Â Â  Aus den vorangehenden ErwÃ¤gungen folgt, dass die D.___ auf der der KlÃ¤gerin geschuldeten Austrittsleistung ab 18. Januar 2011 einen Zins in reglementarischer oder gesetzlicher (Mindest-)HÃ¶he (vgl. Art. 12 lit. f) bis zum Zeitpunkt der Ãberweisung zu entrichten hat. Ab dem 31. Tag nach Vorlage aller fÃ¼r die Ãberweisung der Austrittsleistung erforderlichen Angaben wÃ¤re ein Verzugszins von 3,0 % (vgl. Art. 7 FZV in Verbindung mit Art. 12 lit. f BVV 2) zu bezahlen.</w:t>
      </w:r>
    </w:p>
    <w:p>
      <w:r>
        <w:t>Das Gericht erkennt:</w:t>
      </w:r>
    </w:p>
    <w:p>
      <w:r>
        <w:t>1.Â Â Â Â Â Â Â Â  Die D.___ wird verpflichtet, den Betrag von Fr. 64'728.15 zulasten des Beklagten 1 (FreizÃ¼gigkeitskonto Nr. _____ lautend auf B.___) auf das Vorsorgekonto der KlÃ¤gerin bei der C.___ (____ lautend auf A.___) zu Ã¼berweisen, wobei der genannte Betrag ab 18. Januar 2011 im Sinne der ErwÃ¤gungen zu verzinsen ist.</w:t>
      </w:r>
    </w:p>
    <w:p>
      <w:r>
        <w:t>2.Â Â Â Â Â Â Â Â  Das Verfahren ist kostenlos.</w:t>
      </w:r>
    </w:p>
    <w:p>
      <w:r>
        <w:t>3.Â Â Â Â Â Â Â Â  Zustellung gegen Empfangsschein an:</w:t>
      </w:r>
    </w:p>
    <w:p>
      <w:r>
        <w:t>- Rechtsanwalt Dr. Gregor Wiget</w:t>
      </w:r>
    </w:p>
    <w:p>
      <w:r>
        <w:t>- C.___</w:t>
      </w:r>
    </w:p>
    <w:p>
      <w:r>
        <w:t>- D.___</w:t>
      </w:r>
    </w:p>
    <w:p>
      <w:r>
        <w:t>- Bundesamt fÃ¼r Sozialversicherungen</w:t>
      </w:r>
    </w:p>
    <w:p>
      <w:r>
        <w:t>Â Â Â Â Â Â Â Â Â Â  sowie mittels Ã¶ffentlicher Publikation des Dispositivs im Amtsblatt des Kantons ZÃ¼rich an:</w:t>
      </w:r>
    </w:p>
    <w:p>
      <w:r>
        <w:t>- B.___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