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BV.2010.00106 vom 7. April 2011</w:t>
      </w:r>
    </w:p>
    <w:p>
      <w:r>
        <w:t>ZH Sozialversicherungsgericht, 2011-04-07, DE</w:t>
      </w:r>
    </w:p>
    <w:p>
      <w:r>
        <w:rPr>
          <w:b/>
        </w:rPr>
        <w:t xml:space="preserve">Quelle: </w:t>
      </w:r>
      <w:r>
        <w:t>https://mcp.opencaselaw.ch/entscheid/zh_sozialversicherungsgericht_BV.2010.00106</w:t>
      </w:r>
    </w:p>
    <w:p>
      <w:r>
        <w:t>FR: ZH_SOZIALVERSICHERUNGSGERICHT BV.2010.00106 du 7 avril 2011</w:t>
      </w:r>
    </w:p>
    <w:p>
      <w:r>
        <w:t>IT: ZH_SOZIALVERSICHERUNGSGERICHT BV.2010.00106 del 7 aprile 2011</w:t>
      </w:r>
    </w:p>
    <w:p>
      <w:pPr>
        <w:pStyle w:val="Heading2"/>
      </w:pPr>
      <w:r>
        <w:t>Erwägungen</w:t>
      </w:r>
    </w:p>
    <w:p>
      <w:r>
        <w:rPr>
          <w:b/>
        </w:rPr>
        <w:t>E. 2</w:t>
      </w:r>
    </w:p>
    <w:p>
      <w:r>
        <w:t>2.1Â Â Â Â  Mit VerfÃ¼gung vom 4. Januar 2011 holte das Gericht bei der AXA Winterthur per Datum der Rechtskraft der Scheidung (19. Oktober 2010) aktualisierte Abrechnungen Ã¼ber die zu teilenden Austrittsleistungen der KlÃ¤gerin und des Beklagten 1 sowie eine BestÃ¤tigung Ã¼ber die DurchfÃ¼hrbarkeit der Teilung ein. Ferner wurde den Scheidungsparteien Gelegenheit gegeben, die im Zeitpunkt der Eheschliessung angesparten Vorsorgegelder zu bezeichnen, unter Hinweis, dass im SÃ¤umnisfall davon ausgegangen werde, dass am 8. April 1999 noch keine Vorsorgegelder angespart waren.</w:t>
      </w:r>
    </w:p>
    <w:p>
      <w:r>
        <w:t>2.2Â Â Â Â  Am 12. Januar 2011 bezifferte die AXA Winterthur die FreizÃ¼gigkeitsleistung der KlÃ¤gerin per 19. Oktober 2010 mit Fr. 115'009.85 (Urk. 6), und am 14. Januar 2011 teilte sie mit, dass die FreizÃ¼gigkeitsleistung des Beklagten 1 am 19. Oktober 2010 Fr. 90'754.-- betrug (Urk. 7/19). Die KlÃ¤gerin meldete am 12. Januar 2011, dass ihr FreizÃ¼gigkeitskapital im Zeitpunkt der Heirat am 8. April 1999 Fr. 41'569.90 betrug (Urk. 8), und reichte die Austrittsabrechnung der Pensionskasse Novartis vom 12. Januar 2000 ein (Urk. 9/1). Der Beklagte liess sich zur HÃ¶he der im Zeitpunkt der Heirat angesparten Vorsorgegelder nicht vernehmen.</w:t>
      </w:r>
    </w:p>
    <w:p>
      <w:r>
        <w:t>Â Â Â Â Â Â Â Â  Mit VerfÃ¼gung vom 8. Februar 2011 wurde den Scheidungsparteien Gelegenheit gegeben, zu den gemeldeten Austrittsleistungen Stellung zu nehmen und zu der vom Gericht vorzunehmenden Teilung AntrÃ¤ge zu stellen unter der Androhung, dass bei Stillschweigen von der Richtigkeit und VollstÃ¤ndigkeit der eingereichten Abrechnungen ausgegangen wÃ¼rde (Urk. 10). Innert angesetzter Frist liess sich keine der Parteien vernehmen.</w:t>
      </w:r>
    </w:p>
    <w:p>
      <w:r>
        <w:t>Das Gericht zieht in ErwÃ¤gung:</w:t>
      </w:r>
    </w:p>
    <w:p>
      <w:r>
        <w:t>1.</w:t>
      </w:r>
    </w:p>
    <w:p>
      <w:r>
        <w:t>1.1Â Â Â Â  GehÃ¶rt ein Ehegatte oder gehÃ¶ren beide Ehegatten einer Einrichtung der beruflichen Vorsorge an und ist bei keinem Ehegatten ein Vorsorgefall eingetreten, so hat bei einer Scheidung nach der Regelung des Art. 122 Abs. 1 des Zivilgesetzbuches (ZGB) jeder Ehegatte Anspruch auf die HÃ¤lfte der nach dem Bundesgesetz Ã¼ber die FreizÃ¼gigkeit in der beruflichen Alters-, Hinterlassenen- und Invalidenvorsorge (FZG) fÃ¼r die Ehedauer zu ermittelnden Austrittsleistung des anderen Ehegatten.</w:t>
      </w:r>
    </w:p>
    <w:p>
      <w:r>
        <w:t>Â Â Â Â Â Â Â Â  Haben sich die Ehegatten Ã¼ber die Teilung der Austrittsleistung sowie die Art der DurchfÃ¼hrung der Teilung geeinigt und legen sie eine BestÃ¤tigung der beteiligten Einrichtungen der beruflichen Vorsorge Ã¼ber die DurchfÃ¼hrbarkeit der getroffenen Regelung und die HÃ¶he der Guthaben vor, die fÃ¼r die Berechnung der zu teilenden Austrittsleistungen massgebend sind, so wird die Vereinbarung mit der Genehmigung durch das Gericht auch fÃ¼r die Einrichtungen der beruflichen Vorsorge verbindlich (Art. 141 Abs. 1 ZGB).</w:t>
      </w:r>
    </w:p>
    <w:p>
      <w:r>
        <w:t>Â Â Â Â Â Â Â Â  Kommt dagegen keine Vereinbarung zustande, entscheidet das Gericht nach Art. 142 Abs. 1 ZGB Ã¼ber das VerhÃ¤ltnis, in welchem die Austrittsleistungen zu teilen sind. Sobald der Entscheid Ã¼ber das TeilungsverhÃ¤ltnis rechtskrÃ¤ftig ist, Ã¼berweist das Gericht die Streitsache von Amtes wegen dem nach FZG zustÃ¤ndigen Gericht (Art. 142 Abs. 2 ZGB). Mitgeteilt werden nach Art. 142 Abs. 3 ZGB dabei insbesondere der Entscheid Ã¼ber das TeilungsverhÃ¤ltnis, das Datum der Eheschliessung und das Datum der Ehescheidung, die Einrichtungen der beruflichen Vorsorge, bei denen den Ehegatten voraussichtlich Guthaben zustehen, und die HÃ¶he der Guthaben der Ehegatten, die diese Einrichtungen gemeldet haben.</w:t>
      </w:r>
    </w:p>
    <w:p>
      <w:r>
        <w:t>1.2Â Â Â Â Â Â Â Â  Entsprechend der Regelung des ZGB sieht Art. 22 Abs. 1 FZG vor, dass bei Ehescheidung die fÃ¼r die Ehedauer zu ermittelnden Austrittsleistungen nach den Art. 122, 123, 141 und 142 ZGB geteilt werden und dass die Art. 3 bis 5 FZG auf den zu Ã¼bertragenden Betrag sinngemÃ¤ss anwendbar sind. Die zu teilende Austrittsleistung eines Ehegatten entspricht nach Art. 22 Abs. 2 FZG dabei der Differenz zwischen der Austrittsleistung zuzÃ¼glich allfÃ¤lliger FreizÃ¼gigkeitsguthaben im Zeitpunkt der Ehescheidung und der Austrittsleistung zuzÃ¼glich allfÃ¤lliger FreizÃ¼gigkeitsguthaben im Zeitpunkt der Eheschliessung. FÃ¼r die Berechnung sind die Austrittsleistung und das FreizÃ¼gigkeitsguthaben im Zeitpunkt der Eheschliessung auf den Zeitpunkt der Ehescheidung aufzuzinsen.</w:t>
      </w:r>
    </w:p>
    <w:p>
      <w:r>
        <w:t>1.3Â Â Â Â Â Â Â Â  Massgeblicher Zeitraum fÃ¼r die Teilung der Austrittsleistung ist nach der gesetzlichen Definition die Ehedauer. Damit legt das Gesetz die Eckwerte fest. Die Ehe beginnt mit dem Tag der Eheschliessung und endet mit der AuflÃ¶sung durch das Scheidungsurteil. Dabei ist fÃ¼r den Zeitpunkt der Scheidung nicht das Urteilsdatum, sondern der Eintritt der formellen Rechtskraft des Scheidungsurteils massgebend (BGE 132 V 239 Erw. 2.3).</w:t>
      </w:r>
    </w:p>
    <w:p>
      <w:r>
        <w:t>2.Â Â Â Â Â Â  Die Einzelrichterin nannte (Urk. 1) alle notwendigen Eckdaten fÃ¼r die Teilung der Austrittsleistungen (Eheschliessung: 8. April 1999; Rechtskraft der Scheidung: 19. Oktober 2010; TeilungsverhÃ¤ltnis: 1/2 - 1/2; Vorsorgeeinrichtung der Scheidungsparteien: AXA Winterthur (Urk. 1 und Urk. 100).</w:t>
      </w:r>
    </w:p>
    <w:p>
      <w:r>
        <w:t>Â Â Â Â Â Â Â Â  Nach dem Einholen der aktualisierten Angaben der Vorsorgeeinrichtung Ã¼ber die HÃ¶he der Guthaben der Scheidungsparteien (Fr. 115'009.85 zugunsten der KlÃ¤gerin, Urk. 6; Fr. 90'754.-- zugunsten des Beklagten 1, Urk. 7/1) sowie den Angaben in der Austrittsmeldung der Pensionskasse Novartis, wonach der KlÃ¤gerin bei Heirat eine FreizÃ¼gigkeitsleistung von Fr. 41'569.90 zustand (Urk. 9/1), sind die Angaben vollstÃ¤ndig.</w:t>
      </w:r>
    </w:p>
    <w:p>
      <w:r>
        <w:t>Â Â Â Â Â Â Â Â  Die Scheidungsparteien stellten im vorliegenden Verfahren keine AntrÃ¤ge.</w:t>
      </w:r>
    </w:p>
    <w:p>
      <w:r>
        <w:rPr>
          <w:b/>
        </w:rPr>
        <w:t>E. 3</w:t>
      </w:r>
    </w:p>
    <w:p>
      <w:r>
        <w:t>3.1Â Â Â Â  Laut Art. 12 der Verordnung Ã¼ber die berufliche Alters-, Hinterlassenen- und Invalidenvorsorge (BVV 2) wird das Altersguthaben verzinst: fÃ¼r den Zeitraum bis 31. Dezember 2002 mit mindestens 4 % (lit. a); fÃ¼r den Zeitraum vom 1. Januar bis zum 31. Dezember 2003 mit mindestens 3,25 % (lit. b); fÃ¼r den Zeitraum vom 1. Januar bis 31. Dezember 2004 mit mindestens 2,25 % (lit. c); fÃ¼r den Zeitraum vom 1. Januar 2005 bis 31. Dezember 2007 mit mindestens 2,5 % (lit. d); fÃ¼r den Zeitraum vom 1. Januar bis 31. Dezember 2008 mit mindestens 2,75 % (lit. e) und ab 1. Januar 2009 mit mindestens 2 % (lit. f). In Anwendung dieser ZinssÃ¤tze betrÃ¤gt das von der KlÃ¤gerin vor der Heirat gesparte Vorsorgeguthaben, welches am 1. April 1999 Fr. 41'569.90 betrug (vgl. Urk. 9/1), im Zeitpunkt der Rechtskraft der Scheidung Fr. 58'259.35. Dieses ist von dem von der AXA Winterthur gemeldeten Vorsorgeguthaben per 19. Oktober 2010 von Fr. 115'009.85 in Abzug zu bringen, was ein zu teilendes Vorsorgeguthaben der KlÃ¤gerin von Fr. 56'750.50 ergibt, wovon der Beklagte 1 einen Anspruch auf Fr. 28'375.25 (Fr. 56'750.50 : 2) hat.</w:t>
      </w:r>
    </w:p>
    <w:p>
      <w:r>
        <w:t>3.2Â Â Â Â  Das wÃ¤hrend der Ehedauer angesparte Vorsorgeguthaben des Beklagten 1 betrÃ¤gt per 19. Oktober 2010 Fr. 90'754.-- (Urk. 7/1). Hieraus hat die KlÃ¤gerin einen Anspruch auf Fr. 45'377.-- (Fr. 90'754 : 2). Von dem dem Beklagten 1 verbleibenden Teil von Fr. 45'377.-- ist der Betrag von Fr. 30'223.40 als EntschÃ¤digung dem Anteil der KlÃ¤gerin anzurechnen (vgl. Scheidungsurteil Dispositiv-Ziffer 9 f., Urk. 2/100; vgl. auch Urk. 1), so dass die KlÃ¤gerin einen Anspruch am Vorsorgeguthaben des Beklagten 1 von Fr. 75'600.40 hat (Fr. 45'377.-- + Fr. 30'223.40). Die Differenz der Summen betrÃ¤gt Fr. 47'225.15 (Fr. 75'600.40 - Fr. 28'375.25) zu Gunsten der KlÃ¤gerin. Die AXA Winterthur ist folglich zu verpflichten, Fr. 47'225.15 zulasten des Beklagten 1 (Versicherten-Nummer 756.0052.7698.96, Vertrag-Nummer 1/37846/PQ) auf das Vorsorgekonto der KlÃ¤gerin bei der AXA Winterthur (Versicherten-Nummer 756.7517.2950.44, Vertrag-Nummer 1/85587/FJ) zu Ã¼berweisen.</w:t>
      </w:r>
    </w:p>
    <w:p>
      <w:r>
        <w:rPr>
          <w:b/>
        </w:rPr>
        <w:t>E. 4</w:t>
      </w:r>
    </w:p>
    <w:p>
      <w:r>
        <w:t>4.1Â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von Art. 12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FZV bei der Teilung der Austrittsleistung infolge Scheidung ebenfalls auf den im entsprechenden Zeitraum gÃ¼ltigen Zinssatz nach Art. 12 BVV 2 greift (BGE 129 V 257 Erw.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4.2Â Â Â Â  Aus den vorangehenden ErwÃ¤gungen folgt, dass die AXA Winterthur auf der der KlÃ¤gerin geschuldeten Austrittsleistung ab 19. Oktober 2010 einen Zins in reglementarischer oder gesetzlicher (Mindest-)HÃ¶he (vgl. Art. 12 lit. f) bis zum Zeitpunkt der Ãberweisung zu entrichten hat. Ab dem 31. Tag nach Vorlage aller fÃ¼r die Ãberweisung der Austrittsleistung erforderlichen Angaben wÃ¤re ein Verzugszins von 3,0 % (vgl. Art. 7 FZV in Verbindung mit Art. 12 lit. f BVV 2) zu bezahlen.</w:t>
      </w:r>
    </w:p>
    <w:p>
      <w:r>
        <w:t>Das Gericht erkennt:</w:t>
      </w:r>
    </w:p>
    <w:p>
      <w:r>
        <w:t>1.Â Â Â Â Â Â Â Â  Die AXA Winterthur wird verpflichtet, den Betrag von Fr. 47'225.15 zulasten von B.___ (Versicherten-Nummer ______/Vertrag-Nummer ____) auf das Konto von A.___ (Versicherten-Nummer ____/Vertrag-Nummer ____) zu Ã¼bertragen, wobei der genannte Betrag ab 19. Oktober 2010 im Sinne der ErwÃ¤gungen zu verzinsen ist.</w:t>
      </w:r>
    </w:p>
    <w:p>
      <w:r>
        <w:t>2.Â Â Â Â Â Â Â Â  Das Verfahren ist kostenlos.</w:t>
      </w:r>
    </w:p>
    <w:p>
      <w:r>
        <w:t>3.Â Â Â Â Â Â Â Â Â Â  Zustellung gegen Empfangsschein an:</w:t>
      </w:r>
    </w:p>
    <w:p>
      <w:r>
        <w:t>- A.___</w:t>
      </w:r>
    </w:p>
    <w:p>
      <w:r>
        <w:t>- Rechtsanwalt Dr. Roger Groner</w:t>
      </w:r>
    </w:p>
    <w:p>
      <w:r>
        <w:t>- AXA Stiftung Berufliche Vorsorge, Winterthur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