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BV.2010.00082 vom 30. Juni 2011</w:t>
      </w:r>
    </w:p>
    <w:p>
      <w:r>
        <w:t>ZH Sozialversicherungsgericht, 2011-06-30, DE</w:t>
      </w:r>
    </w:p>
    <w:p>
      <w:r>
        <w:rPr>
          <w:b/>
        </w:rPr>
        <w:t xml:space="preserve">Quelle: </w:t>
      </w:r>
      <w:r>
        <w:t>https://mcp.opencaselaw.ch/entscheid/zh_sozialversicherungsgericht_BV.2010.00082</w:t>
      </w:r>
    </w:p>
    <w:p>
      <w:r>
        <w:t>FR: ZH_SOZIALVERSICHERUNGSGERICHT BV.2010.00082 du 30 juin 2011</w:t>
      </w:r>
    </w:p>
    <w:p>
      <w:r>
        <w:t>IT: ZH_SOZIALVERSICHERUNGSGERICHT BV.2010.00082 del 30 giugno 2011</w:t>
      </w:r>
    </w:p>
    <w:p>
      <w:pPr>
        <w:pStyle w:val="Heading2"/>
      </w:pPr>
      <w:r>
        <w:t>Erwägungen</w:t>
      </w:r>
    </w:p>
    <w:p>
      <w:r>
        <w:rPr>
          <w:b/>
        </w:rPr>
        <w:t>E. 1</w:t>
      </w:r>
    </w:p>
    <w:p>
      <w:r>
        <w:t>1.1Â Â Â Â  Das Bundesgericht hat im Urteil vom 6. Oktober 2010 (Urk. 1) erwogen, es sei zutreffend, dass Dr. med. D.___, Facharzt FMH fÃ¼r Psychiatrie und Psychotherapie, in seinem Bericht vom 2. November 2006 (Urk. 2/24/55) bereits ab November 2004, d.h. zum Zeitpunkt des Stellenantritts bei der C.___, eine ArbeitsunfÃ¤higkeit von 40 % attestiert und darauf hingewiesen habe, dass ein hÃ¶herer Arbeitseinsatz zu gesundheitlichen BeeintrÃ¤chtigungen fÃ¼hren kÃ¶nne. Da ein Arbeitsausfall arbeitsrechtlich hÃ¤tte in Erscheinung treten mÃ¼ssen, wenn die betreffende Person, wie hier, im fraglichen Zeitraum den vollen Lohn bezogen habe, genÃ¼ge die Beurteilung des Dr. D.___ allein indessen nicht, um einen zeitlichen Zusammenhang zwischen der im Jahre 2003 aufgetretenen psychischen Problematik und der spÃ¤teren InvaliditÃ¤t zu bejahen. Weil anhand der vorliegenden Akten nicht mit der erforderlichen Ã¼berwiegenden Wahrscheinlichkeit beurteilt werden kÃ¶nne, ob der zeitliche Konnex zwischen der im Mai 2003 erstmals aufgetretenen Psychose und der wÃ¤hrend des AnstellungsverhÃ¤ltnisses bei der C.___ eingetretenen InvaliditÃ¤t unterbrochen worden sei oder nicht, hÃ¤tte das hiesige Gericht nicht darauf verzichten dÃ¼rfen, genauer abzuklÃ¤ren, ob und allenfalls in welchem Ausmass die psychische Problematik bereits seit November 2004 (Stellenantritt bei der C.___) zu einer gesundheitlich bedingten ArbeitsunfÃ¤higkeit bzw. einem arbeitsrechtlich in Erscheinung getretenen Arbeitsausfall gefÃ¼hrt habe.</w:t>
      </w:r>
    </w:p>
    <w:p>
      <w:r>
        <w:t>1.2Â Â Â Â  Die KlÃ¤gerin trat am 1. November 2004 eine Stelle als Verkaufsmitarbeiterin (Inserat-Verkauf) bei der C.___ zu einem 100%-Pensum an (Urk. 2/2/5). Die Stelle wurde per 1. Januar 2007 auf ein 60%-Pensum reduziert und am 21. MÃ¤rz 2007 von der Arbeitgeberin fristlos gekÃ¼ndigt (Urk. 2/2/9).</w:t>
      </w:r>
    </w:p>
    <w:p>
      <w:r>
        <w:t>Â Â Â Â Â Â Â Â  Dem Arbeitgeberbericht der C.___ vom 25. November 2010 (Urk. 6) kann entnommen werden, dass die EntlÃ¶hnung der Verkaufsmitarbeitenden nach dem Gesamtumsatz (Netto-VerkaufserlÃ¶s) erfolge und nicht individuell bemessen werde, da es sich um eine Teamleistung handle. Dem Arbeitsvertrag der KlÃ¤gerin kÃ¶nne entnommen werden, dass der gesamte Lohn als Provision gelte, jedoch ein umsatzunabhÃ¤ngiges Fixum garantiert werde, welches in der Provision enthalten sei. Aus diesem Grund kÃ¶nne nur der jÃ¤hrliche Gesamtlohn angegeben werden, der jedoch nichts Ã¼ber die persÃ¶nliche Verkaufsleistung der KlÃ¤gerin aussage.</w:t>
      </w:r>
    </w:p>
    <w:p>
      <w:r>
        <w:t>Â Â Â Â Â Â Â Â  Die nach dem Arbeitsvertrag gemeinsam festgelegten Blockzeiten seien die generellen Blockzeiten des Unternehmens gewesen, welche seit vielen Jahren (und auch heute noch) von 8.00 bis 11.30 Uhr und 14.00 bis 16.30 Uhr dauernd festgelegt seien. Bis zum 31. Dezember 2006 hÃ¤tten diese auch fÃ¼r die KlÃ¤gerin gegolten. Im Zusammenhang mit der EinfÃ¼hrung der "Regeln fÃ¼r den Verkauf", worin diese Blockzeiten ebenfalls aufgefÃ¼hrt seien, habe die KlÃ¤gerin fÃ¼r sich eine SonderlÃ¶sung, nÃ¤mlich Blockzeitbeginn morgens um 9.00 Uhr gefordert, worauf man sich auf einen Kompromiss, Blockzeitbeginn morgens um 8.30 Uhr, geeinigt habe.</w:t>
      </w:r>
    </w:p>
    <w:p>
      <w:r>
        <w:t>Â Â Â Â Â Â Â Â  Da sich die KlÃ¤gerin seit Beginn der Anstellung immer sehr viele Freiheiten herausgenommen und sich nur sehr selten an die Blockzeiten und andere Vorgaben gehalten habe, seien von der GeschÃ¤ftleitung am 21. Dezember 2006 die "Regeln fÃ¼r den Verkauf" erlassen worden. Diese Regeln hÃ¤tten schon davor mÃ¼ndlich bestanden, und es sei nach diesen gelebt worden. Im Zusammenhang mit der Erweiterung des Verkaufsteams sei die GeschÃ¤ftsleitung gezwungen gewesen, die Regeln zu Papier zu bringen, um zu verhindern, dass die neuen Mitarbeiter sich an den Verhaltensweisen der KlÃ¤gerin orientierten.</w:t>
      </w:r>
    </w:p>
    <w:p>
      <w:r>
        <w:t>Â Â Â Â Â Â Â Â  Die KlÃ¤gerin habe sich nur sehr selten nach geschÃ¤ftlichen Vorgaben gerichtet, worauf sie mehrmals auch angesprochen worden sei. Sie habe dafÃ¼r immer eine passende BegrÃ¼ndung bereitgehalten. Nach EinfÃ¼hrung der "Regeln fÃ¼r den Verkauf" habe sie nachgefragt, ob die Regel, wonach die Arbeit immer am Arbeitsplatz begonnen werden mÃ¼sse, auch fÃ¼r sie gelte. Es sei ihr erklÃ¤rt worden, dass darauf bestanden werde, sie jedoch ausnahmsweise auch einen Kunden, der auf dem Arbeitsweg liege, besuchen kÃ¶nne, sollte dieser einen frÃ¼hen Termin verlangen. Leider habe sich bald gezeigt, dass die KlÃ¤gerin diese Ausnahme zur Regel gemacht habe und sich am Morgen, immer mit der BegrÃ¼ndung, davor einen Kundentermin wahrgenommen zu haben, nie vor 9.00 Uhr am Arbeitsplatz gezeigt habe. Im September 2006 habe sich die KlÃ¤gerin erlaubt, drei Tage lang Kunden zu besuchen, ohne je am Arbeitsplatz zu erscheinen.</w:t>
      </w:r>
    </w:p>
    <w:p>
      <w:r>
        <w:t>Â Â Â Â Â Â Â Â  Aussendienstmitarbeiter verbrÃ¤chten einen grossen Teil der Arbeitszeit ausserhalb der GeschÃ¤ftsrÃ¤ume und stÃ¼nden somit auch ausserhalb einer direkten Kontrolle durch den Vorgesetzten. Die einzig mÃ¶gliche Kontrolle bestehe darin, die Bestellungen zu Ã¼berwachen und einen Verkaufsrapport mit Terminangaben erstellen zu lassen. Ein solcher Rapport sei als Folge der Verhaltensweise der KlÃ¤gerin ab 1. Januar 2007 eingefÃ¼hrt worden. Bereits nach den ersten Wochen habe sich gezeigt, dass grÃ¶ssere LÃ¼cken zwischen den rapportierten Kundenzeiten und dem Erscheinen im BÃ¼ro sichtbar geworden seien. ZeitrÃ¤ume, die sich nur dadurch hÃ¤tten erklÃ¤ren lassen, dass sie sich unerlaubt Auszeiten genommen habe. Zur KÃ¼ndigung sei es gekommen, als sie - auf frischer Tat ertappt - einen solchen Fall habe zugeben mÃ¼ssen. Sie habe dem Verkaufsinnendienst am Vorabend drei Kundentermine fÃ¼r den nÃ¤chsten Morgen angegeben, davon jedoch nur einen wahrgenommen. In der Ã¼brigen Zeit habe sie sich eine unerlaubte Auszeit genommen, indem sie kurzerhand fÃ¼r sich beschlossen habe, Ãberzeit zu kompensieren, obwohl es keine Ãberzeit zu kompensieren gegeben habe.</w:t>
      </w:r>
    </w:p>
    <w:p>
      <w:r>
        <w:t>Â Â Â Â Â Â Â Â  Krankheitsbedingte Absenzen seien vom 3. MÃ¤rz bis 1. April 2005 zu 80 %, vom 4. bis 15. April 2005 zu 50 %, vom 14. bis 18. Februar 2006 zu 100 % und vom 23. August bis 5. September 2006 wiederum zu 100 % zu verzeichnen gewesen. Die KlÃ¤gerin habe nie einen krÃ¤nklichen Eindruck hinterlassen. Im Gegenteil: Ihr Temperament sei bei den Kunden vielfach positiv aufgefallen. Es sei ihr internes Verhalten gewesen, das immer mehr Sorge bereitet und dazu gefÃ¼hrt habe, sie genauer zu kontrollieren, bis es zum Eklat gekommen sei.</w:t>
      </w:r>
    </w:p>
    <w:p>
      <w:r>
        <w:t>Â Â Â Â Â Â Â Â  Die KlÃ¤gerin sei am 17. Juli 2006 einem neuen Vorgesetzten unterstellt worden, als der ehemalige Vorgesetzte das Unternehmen verlassen habe. Dies habe zu einer Umstellung der ZustÃ¤ndigkeiten gefÃ¼hrt und der Verlagsleiter und Mitinhaber leite den Verkauf seit diesem Zeitpunkt selber. Allerdings sei zu bemerken, dass auch davor eine sehr enge Zusammenarbeit zwischen dem Verkaufs- und dem Verlagsleiter stattgefunden habe und die KlÃ¤gerin immer wieder Thema gewesen sei. Die Konfliktpunkte hÃ¤tten wie oben dargelegt darin bestanden, dass sie sich nicht an die im Haus geltenden Regeln gehalten habe. Sie habe sich den meisten Anordnungen widersetzt. Sie habe sogar ihre Arbeitskolleginnen und -kollegen gegen die GeschÃ¤ftsleitung aufgehetzt.</w:t>
      </w:r>
    </w:p>
    <w:p>
      <w:r>
        <w:t>Â Â Â Â Â Â Â Â  Die Verkaufszahlen der KlÃ¤gerin seien im Rahmen der Erwartungen gewesen, da aber keine personifizierte Verkaufsstatistik gefÃ¼hrt worden sei, seien diese objektiv nicht quantifizierbar. Bei den Kunden sei sie sehr beliebt gewesen, weshalb ihr nicht schon frÃ¼her gekÃ¼ndigt worden sei. Es habe einen krassen Widerspruch in ihrem Verhalten gegenÃ¼ber der Arbeitgeberin und in demjenigen gegenÃ¼ber den Kunden gegeben.</w:t>
      </w:r>
    </w:p>
    <w:p>
      <w:r>
        <w:rPr>
          <w:b/>
        </w:rPr>
        <w:t>E. 2</w:t>
      </w:r>
    </w:p>
    <w:p>
      <w:r>
        <w:t>2.1Â Â Â Â  GemÃ¤ss bundesgerichtlicher Rechtsprechung ist die Frage, ob eine Person trotz Lohnzahlung tatsÃ¤chlich erheblich arbeitsunfÃ¤hig ist, ob sie also im Rahmen eines ArbeitsverhÃ¤ltnisses ihre Ã¼bliche oder aber eine gesundheitsbedingt eingeschrÃ¤nkte Leistung erbringt, mit aller Sorgfalt zu prÃ¼fen. Eine Einbusse an LeistungsvermÃ¶gen muss arbeitsrechtlich in Erscheinung treten,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 Lage - etwa in dem Sinne, dass ein Arbeitnehmer zwar zur Erbringung einer vollen Arbeitsleistung verpflichtet war und auch entsprechend entlÃ¶hnt wurde, tatsÃ¤chlich aber eben doch keine volle Arbeitsleistung hat erbringen kÃ¶nnen - in Betracht gezogen werden (Urteil des Bundesgerichts 9C_182/2007 vom 7. Dezember 2007 E.4.1.3).</w:t>
      </w:r>
    </w:p>
    <w:p>
      <w:r>
        <w:t>2.2Â Â Â Â  Wie im Entscheid des hiesigen Gerichts vom 31. MÃ¤rz 2010 erwogen (Urk. 2/32) und vom Bundesgericht mit Urteil vom 6. Oktober 2010 als zutreffend bestÃ¤tigt (Urk. 1), wurde der KlÃ¤gerin bereits ab November 2004, d.h. zum Zeitpunkt des Stellenantritts bei der C.___, eine ArbeitsunfÃ¤higkeit von 40 % attestiert (vgl. Urk. 1). Aus dem Arbeitgeberbericht der C.___ (Erw. 2.1) geht indessen hervor, dass die KlÃ¤gerin wÃ¤hrend des ArbeitsverhÃ¤ltnisses nicht durch ungenÃ¼gende Arbeitsleistung aufgefallen ist. Hierzu ist allerdings zu bemerken, dass die Verkaufszahlen nicht individuell bemessen worden sind, sondern fÃ¼r die Arbeitgeberin lediglich der Gesamtumsatz aller Mitarbeitenden von Interesse war. Dass die KlÃ¤gerin bei den Kunden sehr beliebt war, sagt lediglich etwas Ã¼ber die QualitÃ¤t ihrer Leistungen aus.</w:t>
      </w:r>
    </w:p>
    <w:p>
      <w:r>
        <w:t>Â Â Â Â Â Â Â Â  Seit Anbeginn des ArbeitsverhÃ¤ltnisses zeigte die KlÃ¤gerin MÃ¼he, sich innerhalb des Betriebs an die Spielregeln zu halten. So nahm sie sich regelmÃ¤ssig die Freiheit, nicht vor neun Uhr im Betrieb zu erscheinen, obwohl sie gemÃ¤ss vorerst mÃ¼ndlicher Blockzeitregelung spÃ¤testens um 8.00 am Arbeitsplatz hÃ¤tte eintreffen sollen. Dieses Verhalten der KlÃ¤gerin blieb bei der Arbeitgeberin nicht unbemerkt und war auch immer wieder Thema in den GesprÃ¤chen zwischen Verkaufs- und Verlagsleiter. Schliesslich fÃ¼hrte es dazu, dass sich die Arbeitgeberin verpflichtet fÃ¼hlte, im Zuge einer Erweiterung des Verkaufsteams die Arbeitszeiten schriftlich zu regeln, um zu verhindern, dass sich die neuen Mitarbeiter an den Verhaltensweisen der KlÃ¤gerin orientierten. Nachdem die schriftliche Arbeitszeitregelung erlassen und der KlÃ¤gerin die Bewilligung erteilt worden war, erst um 8.30 Uhr am Arbeitsplatz erscheinen zu mÃ¼ssen und ausnahmsweise vor Aufnahme der tÃ¤glichen Arbeit im BÃ¼ro Kunden, die auf ihrem Arbeitsweg waren, zu besuchen, schien sie diese Ausnahme zur Regel zu machen. Aus den ab Januar 2007 eingefÃ¼hrten Verkaufsrapporten ergab sich indessen, dass die KlÃ¤gerin, nicht weil sie regelmÃ¤ssig Kunden auf ihrem Arbeitsweg besuchte, zu spÃ¤t am Arbeitsplatz erschien, sondern dass sie grÃ¶ssere LÃ¼cken zwischen den rapportierten Kundenzeiten und den BÃ¼roanwesenheiten zu verzeichnen hatte.</w:t>
      </w:r>
    </w:p>
    <w:p>
      <w:r>
        <w:t>Â Â Â Â Â Â Â Â  Das Verhalten der KlÃ¤gerin deutet darauf hin, dass sie wÃ¤hrend dem ArbeitsverhÃ¤ltnis bei der C.___ nie in der Lage war, zeitlich eine 100%ige Arbeitsleistung zu erbringen. Da die Arbeitgeberin darauf vertraute, dass die KlÃ¤gerin wÃ¤hrend der Arbeitszeit, in welcher sie nicht im BÃ¼ro anzutreffen war, auswÃ¤rtige Kundentermine wahrnahm, fielen ihr die Fehlzeiten nicht auf, sondern sie deutete das Verhalten der KlÃ¤gerin als renitent. Erst die EinfÃ¼hrung immer strengerer Kontrollen fÃ¼hrten dazu, dass die KlÃ¤gerin ihr Arbeitspensum auf 70 bzw. 60 % reduzieren musste und es schliesslich zur fristlosen KÃ¼ndigung seitens der Arbeitgeberin kam.</w:t>
      </w:r>
    </w:p>
    <w:p>
      <w:r>
        <w:t>Â Â Â Â Â Â Â Â  Wenn auch die Arbeitgeberin krankheitsbedingte Absenzen lediglich fÃ¼r den Zeitraum vom 3. MÃ¤rz bis 15. April 2005, 14. bis 18. Februar 2006 und 23. August bis 5. September 2006 angegeben und das Verhalten der KlÃ¤gerin nicht mit ihrer psychischen Krankheit in Zusammenhang gebracht hat, so erhellt aus dem Arbeitgeberbericht dennoch, dass die KlÃ¤gerin wÃ¤hrend des gesamten ArbeitsverhÃ¤ltnisses nicht fÃ¤hig gewesen ist, ein vollzeitliches Arbeitspensum zu erfÃ¼llen. Die KlÃ¤gerin war offenbar nur in der Lage, eine zufriedenstellende Arbeitsleistung zu erbringen, so lange sie nicht kontrolliert wurde und sie in der Zeiteinteilung frei war.</w:t>
      </w:r>
    </w:p>
    <w:p>
      <w:r>
        <w:t>2.3Â Â Â Â  Nach dem Dargelegten ist mit Ã¼berwiegender Wahrscheinlichkeit davon auszugehen, dass die KlÃ¤gerin nach der erstmalig aufgetretenen ArbeitsunfÃ¤higkeit im Jahr 2003 ihre LeistungsfÃ¤higkeit nie mehr ganz erreicht hat und der zeitliche Zusammenhang zwischen der erstmaligen ArbeitsunfÃ¤higkeit im Jahr 2003 und der InvaliditÃ¤t durch die TÃ¤tigkeit bei der C.___ nicht unterbrochen worden ist. Damit ist die Beklagte, bei welcher die KlÃ¤gerin bei Eintritt der ArbeitsunfÃ¤higkeit im MÃ¤rz 2003 vorsorgeversichert war, leistungspflichtig. Nachdem ab 1. Januar 2007 eine ErwerbsunfÃ¤higkeit von mindestens 40 % vorliegt, hat die KlÃ¤gerin ab 1. Januar 2007 aufgrund eines InvaliditÃ¤tsgrades von 42 % Anspruch auf eine Invalidenrente der beruflichen Vorsorge (Art. 25 Ziff. 3 des Vorsorgereglements in der ab 1. Januar 2003 gÃ¼ltig gewesenen Fassung).</w:t>
      </w:r>
    </w:p>
    <w:p>
      <w:r>
        <w:t>3.Â Â Â Â Â Â  Auf Invalidenleistungen sind Verzugszinsen vom ersten Tag der Anhebung der Betreibung oder der gerichtlichen Klage geschuldet (Art. 105 Abs. 1 des Obligationenrechts, OR). Die KlÃ¤gerin erhob am 23. September 2008 Klage (vgl. (Urk. 2/1). GemÃ¤ss Art. 29 Abs. 2 des seit 1. Januar 2007 gÃ¼ltigen Reglements der Beklagten (Urk. 2/16/2) entspricht der Verzugszins dem Mindestzinssatz des Bundesgesetzes Ã¼ber die berufliche Alters-, Hinterlassenen- und Invalidenvorsorge (BVG), welcher fÃ¼r den Zeitraum vom 1. Januar bis 31. Dezember 2008 mindestens 2,75 % und fÃ¼r den Zeitraum ab 1. Januar 2009 mindestens 2 % betrÃ¤gt (Art. 12 lit. e und f der Verordnung Ã¼ber die berufliche Alters-, Hinterlassenen- und Invalidenvorsorge, BVV2). Demnach sind der KlÃ¤gerin ab 23. September 2008 Verzugszinsen von 2,75 % fÃ¼r die bis zu diesem Datum fÃ¤llig gewordenen Rentenbetreffnisse und fÃ¼r die Ã¼brigen ab dem jeweiligen FÃ¤lligkeitsdatum von 2,75 % beziehungsweise ab 1. Januar 2009 von 2 % zuzusprechen.</w:t>
      </w:r>
    </w:p>
    <w:p>
      <w:r>
        <w:t>4.Â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Vorliegend erscheint die Zusprache einer ProzessentschÃ¤digung von Fr. 1'600.-- (inkl. Barauslagen und MWSt) an die KlÃ¤gerin zulasten der Beklagten als gerechtfertigt.</w:t>
      </w:r>
    </w:p>
    <w:p>
      <w:r>
        <w:t>Das Gericht erkennt:</w:t>
      </w:r>
    </w:p>
    <w:p>
      <w:r>
        <w:t>1.Â Â Â Â Â Â Â Â  In Gutheissung der Klage wird die Beklagte verpflichtet, der KlÃ¤gerin gestÃ¼tzt auf einen InvaliditÃ¤tsgrad von 42 % mit Wirkung ab 1. Januar 2007 die reglementarisch geschuldeten Leistungen fÃ¼r die ab MÃ¤rz 2003 eingetretene ArbeitsunfÃ¤higkeit auszurichten zuzÃ¼glich Verzugszins von 2,75 % fÃ¼r die bis zum 23. September 2008 geschuldeten Rentenbetreffnisse, fÃ¼r die restlichen ab dem jeweiligen FÃ¤lligkeitsdatum (2,75 % bis 31. Dezember 2008, 2 % ab 1. Januar 2009). Die KlÃ¤gerin hat eine ihr allfÃ¤llig ausgerichtete Austrittsleistung zurÃ¼ckzuerstatten.</w:t>
      </w:r>
    </w:p>
    <w:p>
      <w:r>
        <w:t>2.Â Â Â Â Â Â Â Â  Das Verfahren ist kostenlos.</w:t>
      </w:r>
    </w:p>
    <w:p>
      <w:r>
        <w:t>3.Â Â Â Â Â Â Â Â  Die Beklagte wird verpflichtet, der KlÃ¤gerin eine ProzessentschÃ¤digung von Fr. 1'600.-- (inkl. Barauslagen und MWSt) zu bezahlen.</w:t>
      </w:r>
    </w:p>
    <w:p>
      <w:r>
        <w:t>4.Â Â Â Â Â Â Â Â Â Â  Zustellung gegen Empfangsschein an:</w:t>
      </w:r>
    </w:p>
    <w:p>
      <w:r>
        <w:t>- AXA-ARAG Rechtsschutz AG</w:t>
      </w:r>
    </w:p>
    <w:p>
      <w:r>
        <w:t>- RechtsanwÃ¤ltin Marta Mozar</w:t>
      </w:r>
    </w:p>
    <w:p>
      <w:r>
        <w:t>- Sammelstiftung 2. SÃ¤ule der Neuen Aargauer Bank, unter Beilage von Urk. 6, 9 und 13 in Kopie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