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BV.2010.00050 vom 9. November 2011</w:t>
      </w:r>
    </w:p>
    <w:p>
      <w:r>
        <w:t>ZH Sozialversicherungsgericht, 2011-11-09, DE</w:t>
      </w:r>
    </w:p>
    <w:p>
      <w:r>
        <w:rPr>
          <w:b/>
        </w:rPr>
        <w:t xml:space="preserve">Quelle: </w:t>
      </w:r>
      <w:r>
        <w:t>https://mcp.opencaselaw.ch/entscheid/zh_sozialversicherungsgericht_BV.2010.00050</w:t>
      </w:r>
    </w:p>
    <w:p>
      <w:r>
        <w:t>FR: ZH_SOZIALVERSICHERUNGSGERICHT BV.2010.00050 du 9 novembre 2011</w:t>
      </w:r>
    </w:p>
    <w:p>
      <w:r>
        <w:t>IT: ZH_SOZIALVERSICHERUNGSGERICHT BV.2010.00050 del 9 novembre 2011</w:t>
      </w:r>
    </w:p>
    <w:p>
      <w:pPr>
        <w:pStyle w:val="Heading2"/>
      </w:pPr>
      <w:r>
        <w:t>Erwägungen</w:t>
      </w:r>
    </w:p>
    <w:p>
      <w:r>
        <w:rPr>
          <w:b/>
        </w:rPr>
        <w:t>E. 2</w:t>
      </w:r>
    </w:p>
    <w:p>
      <w:r>
        <w:t>2.1Â Â Â Â  Das hiesige Gericht hat im invalidenversicherungsrechtlichen Verfahren mit Urteil vom 30. Oktober 2007 (Prozess-Nr. IV.2007.00352) festgehalten, dass die KlÃ¤gerin in der Zeit vom 2. November 2004 bis 31. MÃ¤rz 2005 wÃ¤hrend der Behandlung unterschiedlicher Beschwerden und Erkrankungen 100 % arbeitsunfÃ¤hig war, dass sie aber spÃ¤testens ab 1. April 2005 wieder vollumfÃ¤nglich arbeitsfÃ¤hig war. Bis zum Ende des Zeitraums, welcher im Urteil vom 30. Oktober 2007 zu Ã¼berprÃ¼fen war, nÃ¤mlich bis 5. Februar 2007 (Zeitpunkt des Erlasses der angefochtenen VerfÃ¼gung), dauerte die uneingeschrÃ¤nkte ArbeitsfÃ¤higkeit an. Diese EinschÃ¤tzung des hiesigen Gerichts wurde vom Bundesgericht mit Urteil vom 8. April 2008 geschÃ¼tzt (Urteil 9C_913/2007).</w:t>
      </w:r>
    </w:p>
    <w:p>
      <w:r>
        <w:t>2.2Â Â Â Â  Wie oben dargelegt, muss sich die versicherte Person die invalidenversicherungsrechtliche EinschÃ¤tzung entgegenhalten lassen, sofern die Vorsorgeeinrichtung auf diese abstellt. Vorbehalten sind lediglich jene FÃ¤lle, in denen eine gesamthafte PrÃ¼fung der Aktenlage ergibt, dass die InvaliditÃ¤tsbemessung der Invalidenversicherung offensichtlich unhaltbar war. Vorliegend besteht kein Anlass, von der InvaliditÃ¤tsbemessung der Invalidenversicherung, welche vom hiesigen Gericht und vom Bundesgericht bestÃ¤tigt wurde, abzuweichen, hat das hiesige Gericht im Urteil vom 30. Oktober 2007 doch insbesondere auch dargelegt, weshalb nicht auf die EinschÃ¤tzung von Dr. med. Z,___, Facharzt FMH fÃ¼r Allgemeine Innere Medizin, abzustellen ist (E. 4.3). Es ist daher auch fÃ¼r das vorliegende Verfahren davon auszugehen, dass die KlÃ¤gerin vom 2. November 2004 bis 31. MÃ¤rz 2005 zu 100 % arbeitsunfÃ¤hig war, dass sie aber ab 1. April 2005 bis mindestens 5. Februar 2007 wieder zu 100 % arbeitsfÃ¤hig war.</w:t>
      </w:r>
    </w:p>
    <w:p>
      <w:r>
        <w:t>2.3Â Â Â Â  Nach Beendigung des ArbeitsverhÃ¤ltnisses mit der Y.___ AG am 31. Januar 2005 war die KlÃ¤gerin gestÃ¼tzt auf Art. 10 Abs. 3 BVG bis 28. Februar 2005 noch fÃ¼r die Risiken InvaliditÃ¤t und Tod bei der Beklagten versichert (Nachdeckungsfrist von einem Monat). Ihre ArbeitsunfÃ¤higkeit dauerte bis 31. MÃ¤rz 2005. Danach war sie bis mindestens 5. Februar 2007, d.h. wÃ¤hrend mindestens 22 Monaten wieder voll arbeitsfÃ¤hig. Aufgrund dieser langandauernden ununterbrochenen ArbeitsfÃ¤higkeit ist der zeitliche Zusammenhang zwischen der ArbeitsunfÃ¤higkeit, welche wÃ¤hrend des VorsorgeverhÃ¤ltnisses mit der Beklagten bestand, und der spÃ¤teren InvaliditÃ¤t auf jeden Fall unterbrochen. Die KlÃ¤gerin hat daher - unabhÃ¤ngig davon, ob sie nach dem 5. Februar 2007 in der ArbeitsfÃ¤higkeit eingeschrÃ¤nkt war oder nicht - keinen Anspruch auf Invalidenleistungen der Beklagten. Die Klage erweist sich demzufolge als offensichtlich unbegrÃ¼ndet und ist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Milosav Milovanovic</w:t>
      </w:r>
    </w:p>
    <w:p>
      <w:r>
        <w:t>- Sammelstiftung BVG der ZÃ¼rich Lebensversicherungs-Gesellschaft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