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BV.2010.00032 vom 27. September 2011</w:t>
      </w:r>
    </w:p>
    <w:p>
      <w:r>
        <w:t>ZH Sozialversicherungsgericht, 2011-09-27, DE</w:t>
      </w:r>
    </w:p>
    <w:p>
      <w:r>
        <w:rPr>
          <w:b/>
        </w:rPr>
        <w:t xml:space="preserve">Quelle: </w:t>
      </w:r>
      <w:r>
        <w:t>https://mcp.opencaselaw.ch/entscheid/zh_sozialversicherungsgericht_BV.2010.00032</w:t>
      </w:r>
    </w:p>
    <w:p>
      <w:r>
        <w:t>FR: ZH_SOZIALVERSICHERUNGSGERICHT BV.2010.00032 du 27 septembre 2011</w:t>
      </w:r>
    </w:p>
    <w:p>
      <w:r>
        <w:t>IT: ZH_SOZIALVERSICHERUNGSGERICHT BV.2010.00032 del 27 settembre 2011</w:t>
      </w:r>
    </w:p>
    <w:p>
      <w:pPr>
        <w:pStyle w:val="Heading2"/>
      </w:pPr>
      <w:r>
        <w:t>Erwägungen</w:t>
      </w:r>
    </w:p>
    <w:p>
      <w:r>
        <w:rPr>
          <w:b/>
        </w:rPr>
        <w:t>E. 2</w:t>
      </w:r>
    </w:p>
    <w:p>
      <w:r>
        <w:t>2.1Â Â Â Â  Das Bundesgericht hat in BGE 127 V 264 die Praxis, wonach fÃ¼r Hinterlassenen- und Invalidenrenten, die Ã¼ber das vom Gesetz vorgeschriebene Minimum hinausgehen, der Teuerungsausgleich insoweit nicht obligatorisch ist, als die Gesamtrente hÃ¶her ist als die der Preisentwicklung angepasste BVG-Rente (sog. Anrechnungsprinzip) als gesetzmÃ¤ssig anerkannt. Die Bestimmung Ã¼ber den Teuerungsausgleich (Art. 36 des Bundesgesetzes Ã¼ber die berufliche Alters-, Hinterlassenen- und Invalidenvorsorge [BVG]) stelle eine Mindestvorschrift dar, welche jede umhÃ¼llende Vorsorgeeinrichtung erfÃ¼lle, wenn sie den Nachweis erbringen kÃ¶nne, dass sie an Invalide und Hinterlassene Leistungen ausrichte, die mindestens gleich hoch seien wie die gesetzlichen Mindestleistungen zuzÃ¼glich Teuerungszulage.</w:t>
      </w:r>
    </w:p>
    <w:p>
      <w:r>
        <w:t>2.2Â Â Â Â  GemÃ¤ss Art. 36 Abs. 2 BVG in der seit dem 1. Januar 2005 gÃ¼ltigen Fassung werden Hinterlassenen- und Invalidenrenten, die nicht nach Absatz 1 der Preisentwicklung angepasst werden mÃ¼ssen, sowie Altersrenten entsprechend den finanziellen MÃ¶glichkeiten der Vorsorgeeinrichtung der Preisentwicklung angepasst. Das paritÃ¤tische oder das oberste Organ der Vorsorgeeinrichtung entscheidet jÃ¤hrlich darÃ¼ber, ob und in welchem Ausmass die Renten angepasst werden.Â</w:t>
      </w:r>
    </w:p>
    <w:p>
      <w:r>
        <w:t>2.3Â Â Â Â  Laut Â§ 7 des Gesetzes Ã¼ber die Versicherungskasse fÃ¼r das Staatspersonal kÃ¶nnen den ehemaligen Angestellten und ihren Hinterbliebenen, die vom Staat oder aus einer von ihm unterstÃ¼tzten Versicherungskasse Renten oder RuhegehÃ¤lter beziehen, mit Beschluss des Kantonsrates zu Lasten der Staatskasse Teuerungszulagen ausgerichtet werden.</w:t>
      </w:r>
    </w:p>
    <w:p>
      <w:r>
        <w:t>Â Â Â Â Â Â Â Â  GemÃ¤ss Â§ 55 Abs. 1 der Statuten der Versicherungskasse fÃ¼r das Staatspersonal kann die Versicherungskasse ihre Renten ganz oder teilweise der Teuerung anpassen. Diese Anpassung darf das finanzielle Gleichgewicht der Versicherungskasse nicht nachhaltig gefÃ¤hrden. Die Anpassung kann an die Teuerungszulage des Staates gemÃ¤ss Â§ 7 des Gesetzes Ã¼ber die Versicherungskasse fÃ¼r das Staatspersonal angerechnet werden (Â§ 55 Abs. 2 der Statuten).</w:t>
      </w:r>
    </w:p>
    <w:p>
      <w:r>
        <w:t>Â Â Â Â Â Â Â Â  Nach Â§ 65 Abs. 1 der Statuten dienen die ErtrÃ¤ge auf den angelegten Kapitalien in erster Linie der Verzinsung der Sparguthaben und der technischen Verzinsung des Deckungskapitals der laufenden Renten.</w:t>
      </w:r>
    </w:p>
    <w:p>
      <w:r>
        <w:t>Â Â Â Â Â Â Â Â  Verbleibende ErtragsÃ¼berschÃ¼sse werden nach folgenden PrioritÃ¤ten verwendet (Â§ 65 Abs. 2 der Statuten):</w:t>
      </w:r>
    </w:p>
    <w:p>
      <w:r>
        <w:t>a.Â  Zur ErhÃ¶hung des Zinssatzes auf den Sparguthaben, falls dies aufgrund der ÃberprÃ¼fung der zu erwartenden Altersleistungen notwendig ist.</w:t>
      </w:r>
    </w:p>
    <w:p>
      <w:r>
        <w:t>b.Â  Zur Dotierung der technischen RÃ¼ckstellungen, insbesondere der RÃ¼ckstellung fÃ¼r die Zunahme der Lebenserwartung.</w:t>
      </w:r>
    </w:p>
    <w:p>
      <w:r>
        <w:t>c.Â Â  Zur Verminderung eines versicherungstechnischen Fehlbetrags.</w:t>
      </w:r>
    </w:p>
    <w:p>
      <w:r>
        <w:t>d.Â  Zur Errichtung einer Schwankungsreserve fÃ¼r die Kapitalanlagen. Die HÃ¶he dieser Reserve wird aufgrund der Risikostruktur des Anlageportefeuilles festgelegt.</w:t>
      </w:r>
    </w:p>
    <w:p>
      <w:r>
        <w:t>e.Â Â  Zur Errichtung einer Reserve fÃ¼r die Verzinsung der Sparguthaben. Die maximale HÃ¶he dieser Reserve wird vom Experten fÃ¼r berufliche Vorsorge festgelegt.</w:t>
      </w:r>
    </w:p>
    <w:p>
      <w:r>
        <w:t>f.Â Â  Zur zusÃ¤tzlichen Verzinsung der Sparguthaben und zur ErhÃ¶hung der laufenden Renten.</w:t>
      </w:r>
    </w:p>
    <w:p>
      <w:r>
        <w:rPr>
          <w:b/>
        </w:rPr>
        <w:t>E. 3</w:t>
      </w:r>
    </w:p>
    <w:p>
      <w:r>
        <w:t>3.1Â Â Â Â  Der Beklagte hat in nachvollziehbarer Weise dargelegt, dass die von ihm ausgerichtete statutarische Invalidenrente die gesetzliche Invalidenrente von 50 % (inklusive gesetzlicher Teuerungsausgleich) bei weitem Ã¼bersteigt (Urk. 8/1). Ein Teuerungsausgleich auf dem obligatorischen Teil der Invalidenrente ist damit gemÃ¤ss den bis zum 31. Dezember 2004 gÃ¼ltig gewesenen gesetzlichen Bestimmungen nicht geschuldet. Zu beachten ist im Ãbrigen, dass das hiesige Gericht in seinem Urteil vom 8. Juli 2003 (Proz.Nr. BV.2002.00065) festgehalten hat, dass im fÃ¼r die berufliche Vorsorge massgebenden erwerblichen Bereich gar nicht der von der Invalidenversicherung ermittelte InvaliditÃ¤tsgrad von 50 % massgebend ist. Vielmehr wÃ¤re die KlÃ¤gerin ohne Eintritt des Gesundheitsschadens lediglich zu einem Pensum von knapp 80 % erwerbstÃ¤tig gewesen, und da sie in ihrem angestammten Beruf als Krankenschwester noch 50 % eines Vollpensums erfÃ¼llen kÃ¶nne, ergebe sich im erwerblichen Bereich ein InvaliditÃ¤tsgrad von 37,31 %. Bei diesem InvaliditÃ¤tsgrad besteht gemÃ¤ss Art. 24 Abs. 1 BVG kein Anspruch auf eine Invalidenrente. Mithin hat die KlÃ¤gerin gemÃ¤ss BVG gar keinen Anspruch auf eine Invalidenrente, sondern es handelt sich bei der ausgerichteten Invalidenrente ausschliesslich um eine Ã¼berobligatorische statutarische Leistung.</w:t>
      </w:r>
    </w:p>
    <w:p>
      <w:r>
        <w:t>3.2Â Â Â Â  GemÃ¤ss der seit dem 1. Januar 2005 in Kraft stehenden Fassung von Art. 36 Abs. 2 BVG in Verbindung mit Art. 49 Abs. 2 Ziff. 5 BVG sind Ã¼berobligatorische Invalidenrenten entsprechend den finanziellen MÃ¶glichkeiten der Vorsorgeeinrichtung der Preisentwicklung anzupassen. Der Regierungsrat des Kantons ZÃ¼rich hat als zustÃ¤ndiges oberstes Organ der BVK (vgl. Â§ 79 der Statuten) in den Jahren 2006 bis 2010 beschlossen, dass die Renten nicht der Preisentwicklung angepasst werden (Urk. 8/3). Der erforderliche Deckungsgrad, um die kÃ¼nftigen und laufenden Verpflichtungen voll zu decken und darÃ¼ber hinaus eine genÃ¼gende Schwankungs- und Zinsreserve zu bilden, war jeweils nicht erreicht. Dementsprechend haben es die finanziellen MÃ¶glichkeiten des Beklagten nicht zugelassen, die Invalidenrente der KlÃ¤gerin der Teuerung anzupassen.</w:t>
      </w:r>
    </w:p>
    <w:p>
      <w:r>
        <w:t>3.3Â Â Â Â  Die replicando von der KlÃ¤gerin vorgebrachten EinwÃ¤nde (Urk. 11 S. 2) erscheinen nicht als stichhaltig. Die BeschlÃ¼sse des Regierungsrates beziehen sich entgegen ihrer Behauptung nicht nur auf die Altersrenten, sondern auf sÃ¤mtliche von der BVK ausgerichteten Renten, somit auch auf die Invalidenrenten. Der Entscheid Ã¼ber die Anpassung der Renten an die Preisentwicklung liegt zwar gemÃ¤ss Art. 36 Abs. 1 BVG tatsÃ¤chlich beim Bundesrat, doch bezieht sich dies lediglich auf den obligatorischen Bereich. Wie bereits ausgefÃ¼hrt, hat die KlÃ¤gerin keinen obligatorischen Anspruch auf eine Invalidenrente. Dass auch anlagetaktische Fehlentscheide dafÃ¼r verantwortlich waren, Ã¤ndert nichts an der schlechten finanziellen Lage der BVK als solchen. Davon betroffen sind ausserdem nicht nur die Invalidenrentner, sondern sÃ¤mtliche Rentner und die aktiven Versicherten. Es ist ausserdem darauf hinzuweisen, dass es sich bei Invalidenrenten um Risikoleistungen handelt und diese nicht nur aus den eigenen VersicherungsbeitrÃ¤gen des RentenbezÃ¼gers, sondern vor allem auch aus jenen der anderen Versicherten finanziert werden, namentlich in FÃ¤llen, in denen der Anspruch auf eine Invalidenrente schon in relativ jungem Alter entsteht. Schliesslich ist nicht ersichtlich, inwiefern die KlÃ¤gerin aus BGE 127 V 264 etwas zu ihren Gunsten ableiten will, wird doch in diesem Entscheid - wie bereits erwÃ¤hnt - festgehalten, dass kein Teuerungsausgleich geschuldet ist, solange die reglementarischen Leistungen mindestens gleich hoch sind wie die gesetzlichen Mindestleistungen zuzÃ¼glich Teuerungszulage.</w:t>
      </w:r>
    </w:p>
    <w:p>
      <w:r>
        <w:t>3.4Â Â Â Â Â Â Â Â  Zusammenfassend ist damit festzuhalten, dass die KlÃ¤gerin keinen Anspruch auf eine Anpassung ihrer Invalidenrente an die Preisentwicklung hat. Ebenso steht ihr gar kein Anspruch auf eine obligatorische Invalidenrente zu. Ihre diesbezÃ¼glichen AntrÃ¤ge sind demnach abzuweisen.</w:t>
      </w:r>
    </w:p>
    <w:p>
      <w:r>
        <w:rPr>
          <w:b/>
        </w:rPr>
        <w:t>E. 4</w:t>
      </w:r>
    </w:p>
    <w:p>
      <w:r>
        <w:t>4.1Â Â Â Â  Die KlÃ¤gerin rÃ¼gt im Weiteren, dass der Beklagte ihr in den Jahren 2001 bis 2005 keine Vorsorgeausweise zugestellt und somit die ihm in Art. 86b BVG auferlegte Informationspflicht verletzt habe.</w:t>
      </w:r>
    </w:p>
    <w:p>
      <w:r>
        <w:t>4.2Â Â Â Â  Hierzu ist festzuhalten, dass der Beklagte einerseits bestreitet, dass er der KlÃ¤gerin nicht alljÃ¤hrlich den Vorsorgeausweis zugestellt habe, und andererseits geltend macht, er habe die von der KlÃ¤gerin gewÃ¼nschten Unterlagen dieser bereits zugestellt. FÃ¼r die Jahre 2001 bis 2003 seien ausserdem gar keine Vorsorgeausweise zu erstellen gewesen, da die KlÃ¤gerin in dieser Zeit nicht bei der BVK versichert gewesen sei (Urk. 7 S. 4, Urk. 16 S. 2).</w:t>
      </w:r>
    </w:p>
    <w:p>
      <w:r>
        <w:t>4.3Â Â Â Â  Ob der Beklagte der KlÃ¤gerin die Vorsorgeausweise jeweils effektiv zugestellt hat, lÃ¤sst sich nicht mehr feststellen. Es ist aber nicht erstellt und wird von der KlÃ¤gerin auch nicht geltend gemacht, dass sie sich vor ihrem Schreiben vom 6. MÃ¤rz 2010 (Urk. 2/4) beim Beklagten Ã¼ber das Ausbleiben eines Vorsorgeausweises beklagt und die Zustellung eines solchen verlangt hat. Der Beklagte hat der KlÃ¤gerin auf ihre Aufforderung die Vorsorge- und Rentenausweise zugestellt (Urk. 2/5) und ist somit seiner Pflicht nachgekommen, wobei nicht feststeht, ob er diese Ã¼berhaupt verletzt hat. Soweit die KlÃ¤gerin Vorsorgeausweise fÃ¼r Zeiten, welche mehr als fÃ¼nf Jahre zurÃ¼ckliegen, erhÃ¤ltlich machen will, erscheint ihr Begehren mit Blick darauf, dass die Aufbewahrungspflichten fÃ¼r Vorsorgeeinrichtungen erst im Rahmen der am 1. Januar 2005 in Kraft getretenen 1. BVG-Revision konkretisiert worden sind (Art. 41 Abs. 8 BVG in Verbindung mit Art. 27i ff. der Verordnung Ã¼ber die berufliche Alters-, Hinterlassenen- und Invalidenvorsorge), und in analoger Anwendung der fÃ¼nfjÃ¤hrigen VerjÃ¤hrungsfrist fÃ¼r Forderungen auf periodische Leistungen (Art. 41 Abs. 2 BVG) als verspÃ¤tet. Es ist ausserdem festzuhalten, dass die Vorsorgeausweise lediglich der Information der Versicherten dienen und sich aus diesen Angaben keine RechtsansprÃ¼che ableiten lassen. Vielmehr hat der Beklagte bei Eintritt eines Leistungsfalls die AnsprÃ¼che noch einmal gesetzes- und reglementskonform zu berechnen und diese Berechnung der versicherten Person in nachvollziehbarer Weise darzulegen.</w:t>
      </w:r>
    </w:p>
    <w:p>
      <w:r>
        <w:t>4.4Â Â Â Â  Die weiteren von der KlÃ¤gerin angeforderten Unterlagen und Informationen hat ihr der Beklagte ebenfalls mit der am 30. April 2010 erstellten CD-Rom zugestellt. Die KlÃ¤gerin behauptet pauschal, es seien ihr nicht alle Unterlagen zugestellt worden (Urk. 11 S. 2), fÃ¼hrt aber nicht konkret aus, welche fehlen sollen. Ob die "Ãbersicht Ã¼ber die einbezahlten SparbeitrÃ¤ge" fehlerhaft ist, weil sie fÃ¼r einzelne Jahre BetrÃ¤ge von Fr. 0.-- aufweist, kann nicht kontrolliert werden, da nicht feststeht, ob die KlÃ¤gerin in den betreffenden Jahren einen beim Beklagten versicherten Verdienst erzielt hat und somit BeitrÃ¤ge fÃ¼r sie einbezahlt worden sind. Soweit die KlÃ¤gerin nach dem Jahre 2007 eine versicherte TÃ¤tigkeit ausgeÃ¼bt hat, ist die Information falsch und es der KlÃ¤gerin unbenommen, die Bezahlung der entsprechenden BeitrÃ¤ge bzw. die Vornahme der Spargutschriften zu verlangen, wobei sie die entsprechenden Verdienste zu belegen hat. Die Informationspflicht hat der Beklagte dadurch aber nicht verletzt, da er die KlÃ¤gerin darÃ¼ber informiert hat, welche VersicherungsbeitrÃ¤ge fÃ¼r sie einbezahlt worden sind. Wie sich aus den Vorsorgeausweisen ergibt (Urk. 2/1), ist das Sparguthaben in Bezug auf den Anteil, fÃ¼r welchen die KlÃ¤gerin eine Invalidenrente vom Beklagten bezieht, weitergefÃ¼hrt worden. Die KlÃ¤gerin kann mithin die vorgenommenen Gutschriften den Vorsorgeausweisen entnehmen, ohne dass es dazu einer gesonderten Aufstellung bedarf.</w:t>
      </w:r>
    </w:p>
    <w:p>
      <w:r>
        <w:t>4.5Â Â Â Â  Somit ist festzuhalten, dass der Beklagte der KlÃ¤gerin die von ihr geforderten Unterlagen und Informationen vollstÃ¤ndig zugestellt hat, weshalb die Klage in diesen Punkten ebenfalls abzuweisen ist.</w:t>
      </w:r>
    </w:p>
    <w:p>
      <w:r>
        <w:t>5.Â Â Â Â Â Â Â Â  Zusammenfassend ist die Klage damit abzuweisen, soweit auf sie einzutreten ist.</w:t>
      </w:r>
    </w:p>
    <w:p>
      <w:r>
        <w:t>Das Gericht erkennt:</w:t>
      </w:r>
    </w:p>
    <w:p>
      <w:r>
        <w:t>1.Â Â Â Â Â Â Â Â  Die Klage wird abgewiesen, soweit auf sie eingetreten wird.</w:t>
      </w:r>
    </w:p>
    <w:p>
      <w:r>
        <w:t>2.Â Â Â Â Â Â Â Â  Das Verfahren ist kostenlos.</w:t>
      </w:r>
    </w:p>
    <w:p>
      <w:r>
        <w:t>3.Â Â Â Â Â Â Â Â Â Â  Zustellung gegen Empfangsschein an:</w:t>
      </w:r>
    </w:p>
    <w:p>
      <w:r>
        <w:t>- X.___</w:t>
      </w:r>
    </w:p>
    <w:p>
      <w:r>
        <w:t>- BVK Personalvorsorge des Kantons ZÃ¼rich</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