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BV.2010.00026 vom 21. September 2011</w:t>
      </w:r>
    </w:p>
    <w:p>
      <w:r>
        <w:t>ZH Sozialversicherungsgericht, 2011-09-21, DE</w:t>
      </w:r>
    </w:p>
    <w:p>
      <w:r>
        <w:rPr>
          <w:b/>
        </w:rPr>
        <w:t xml:space="preserve">Quelle: </w:t>
      </w:r>
      <w:r>
        <w:t>https://mcp.opencaselaw.ch/entscheid/zh_sozialversicherungsgericht_BV.2010.00026</w:t>
      </w:r>
    </w:p>
    <w:p>
      <w:r>
        <w:t>FR: ZH_SOZIALVERSICHERUNGSGERICHT BV.2010.00026 du 21 septembre 2011</w:t>
      </w:r>
    </w:p>
    <w:p>
      <w:r>
        <w:t>IT: ZH_SOZIALVERSICHERUNGSGERICHT BV.2010.00026 del 21 settembre 2011</w:t>
      </w:r>
    </w:p>
    <w:p>
      <w:pPr>
        <w:pStyle w:val="Heading2"/>
      </w:pPr>
      <w:r>
        <w:t>Erwägungen</w:t>
      </w:r>
    </w:p>
    <w:p>
      <w:r>
        <w:rPr>
          <w:b/>
        </w:rPr>
        <w:t>E. 1</w:t>
      </w:r>
    </w:p>
    <w:p>
      <w:r>
        <w:t>1.1Â Â Â Â  Die KlÃ¤gerin fÃ¼hrte zur BegrÃ¼ndung ihrer Forderung aus, die WeiterfÃ¼hrung des bestehenden FreizÃ¼gigkeitskontos durch die Beklagte sei, nachdem X.___ ab dem 1. Juli 2005 ein neues VorsorgeverhÃ¤ltnis mit der KlÃ¤gerin begrÃ¼ndet habe, nicht mehr zulÃ¤ssig gewesen. Das FreizÃ¼gigkeitskapital hÃ¤tte zwingend an die KlÃ¤gerin Ã¼berwiesen werden mÃ¼ssen. Da diese Pflicht auch nach Eintritt des Vorsorgefalles weiterbestanden habe, erweise sich die Auszahlung des FreizÃ¼gigkeitskapitals an die Eltern der Verstorbenen als unzulÃ¤ssig und habe die Beklagte ihre gestÃ¼tzt auf Art. 4 und 9 des Bundesgesetzes Ã¼ber die FreizÃ¼gigkeit in der beruflichen Alters-, Hinterlassen- und Invalidenvorsorge (FZG) obliegenden Pflichten wissentlich und willentlich verletzt (Urk. 1 S. 6). ErgÃ¤nzend hielt die KlÃ¤gerin fest, zwar sei X.___ nach BegrÃ¼ndung des neuen VorsorgeverhÃ¤ltnisses aufgefordert worden, Ã¼ber allfÃ¤llige FreizÃ¼gigkeitsguthaben Auskunft zu geben. Dieser Aufforderung sei sie jedoch nicht gefolgt (Urk. 1 S. 3). GestÃ¼tzt auf die mÃ¼ndlichen Hinweise eines Bruders der Verstorbenen sei davon auszugehen, dass ihr Guthaben auf dem FreizÃ¼gigkeitskonto bei der Beklagten rund Fr. 400'000.-- betragen habe. Da den Eltern der Verstorbenen (aus der beruflichen Vorsorge bei der KlÃ¤gerin) ein Todesfallkapital von Fr. 163'254.-- zustehe, betrage die Forderung der KlÃ¤gerin Fr. 246'746.--. Sobald eine Abrechnung Ã¼ber das FreizÃ¼gigkeitskonto vorliege, erfolge die definitive Berechnung des Anspruchs der KlÃ¤gerin (Urk. 1 S. 7).</w:t>
      </w:r>
    </w:p>
    <w:p>
      <w:r>
        <w:t>1.2Â Â Â Â Â Â Â Â  Hiergegen brachte die Beklagte insbesondere vor, die in Art. 3 Abs. 1 FZG statuierte Pflicht der bisherigen Vorsorgeeinrichtung, die Austrittsleistung an die neue Vorsorgeeinrichtung zu Ã¼berweisen, begrÃ¼nde keinen Rechtsanspruch der neuen Vorsorgeeinrichtung, was auch fÃ¼r FreizÃ¼gigkeitseinrichtungen Geltung habe. Da es der KlÃ¤gerin an einer BevollmÃ¤chtigung oder Beauftragung zur Ãbertragung des FreizÃ¼gigkeitsguthabens mangle, fehle ihr auch die Aktivlegitimation fÃ¼r das vorliegende Verfahren (Urk. 8 S. 4). Im Ãbrigen mÃ¼sse sich die KlÃ¤gerin auf ihrem Verhalten behaften lassen, habe sie es doch unterlassen oder versÃ¤umt, Einsicht in die Austrittsabrechnung der frÃ¼heren Vorsorgeeinrichtung der Verstorbenen zu verlangen und die Ãbertragung der FreizÃ¼gigkeitsleistung an sich zu veranlassen (Urk. 8 S. 7). Nachdem die FreizÃ¼gigkeitsleistung rechts- und reglementskonform an die Eltern der Verstorbenen ausgerichtet worden sei, sei das SchuldverhÃ¤ltnis gegenÃ¼ber den Berechtigten aus dem FreizÃ¼gigkeitskonto erloschen und bestehe keine Verpflichtung, auf das Begehren der KlÃ¤gerin einzutreten (Urk. 8 S. 8). Sodann gebe es keinerlei Verpflichtung fÃ¼r die Vorsorgeeinrichtung, das Inkasso von Austrittsleistungen von Amtes wegen vorzunehmen, handle es sich bei Art. 11 FZG doch um eine Kann-Vorschrift (Urk. 8 S. 9). Und endlich sei eine Ãbertragung von Austrittsleistungen im Sinne von Art. 4 Abs. 2 bis FZG ohne entsprechende Instruktion gar nicht mÃ¶glich, weshalb die Behauptung, die Beklagte habe ihr obliegende Pflichten verletzt, haltlos sei (Urk. 8 S. 10).</w:t>
      </w:r>
    </w:p>
    <w:p>
      <w:r>
        <w:rPr>
          <w:b/>
        </w:rPr>
        <w:t>E. 2</w:t>
      </w:r>
    </w:p>
    <w:p>
      <w:r>
        <w:t>2.1Â Â Â Â  Treten Versicherte in eine neue Vorsorgeeinrichtung ein, so hat die frÃ¼here Vorsorgeeinrichtung die Austrittsleistung an die neue zu Ã¼berweisen (Art. 3 Abs. 1 FZG). Ebenso mÃ¼ssen FreizÃ¼gigkeitseinrichtungen das Vorsorgekapital fÃ¼r die Erhaltung des Vorsorgeschutzes bei einem Wiedereintritt in eine Vorsorgeeinrichtung der neuen Vorsorgeeinrichtung Ã¼berweisen, wobei die Versicherten der FreizÃ¼gigkeitseinrichtung den Eintritt in die neue Vorsorgeeinrichtung (Art. 4 Abs. 2 bis lit. a FZG) und der neuen Vorsorgeeinrichtung die bisherige FreizÃ¼gigkeitseinrichtung sowie die Form des Vorsorgeschutzes (Art. 4 Abs. 2 bis lit. b FZG) melden mÃ¼ssen.</w:t>
      </w:r>
    </w:p>
    <w:p>
      <w:r>
        <w:t>2.2Â Â Â Â  GemÃ¤ss Art. 11 FZG haben die Versicherten der Vorsorgeeinrichtung Einsicht in die Abrechnungen Ã¼ber die Austrittsleistungen aus dem frÃ¼heren VorsorgeverhÃ¤ltnis zu gewÃ¤hren. Zudem kann die Vorsorgeeinrichtung die Austrittsleistung aus dem frÃ¼heren VorsorgeverhÃ¤ltnis sowie das Vorsorgekapital aus einer Form der Vorsorgeschutzerhaltung fÃ¼r Rechnung der Versicherten einfordern (Abs. 2).</w:t>
      </w:r>
    </w:p>
    <w:p>
      <w:r>
        <w:rPr>
          <w:b/>
        </w:rPr>
        <w:t>E. 3</w:t>
      </w:r>
    </w:p>
    <w:p>
      <w:r>
        <w:t>3.1Â Â Â Â Â Â Â Â  Zwischen den Parteien ist vorab strittig, ob die KlÃ¤gerin fÃ¼r das vorliegende Verfahren aktivlegitimiert ist, worunter die Berechtigung verstanden wird, das eingeklagte Recht als KlÃ¤ger im eigenen Namen geltend zu machen, und bei dessen Fehlen ein auf Klageabweisung lautendes Sachurteil zu ergehen hat (vgl. dazu Kommentar zum Gesetz Ã¼ber das Sozialversicherungsgesetz des Kantons ZÃ¼rich, 2. Aufl., ZÃ¼rich 2009, N 60 zu Â§ 13 mit Hinweisen).</w:t>
      </w:r>
    </w:p>
    <w:p>
      <w:r>
        <w:t>Â Â Â Â Â Â Â Â  Mit Urteil vom 22. Januar 2007 hat das Bundesgericht festgestellt, dass Art. 11 Abs. 2 FZG fÃ¼r die neue Vorsorgeeinrichtung kein eigenes Forderungsrecht auf Zahlung der Austrittsleistung gegenÃ¼ber der frÃ¼heren Vorsorgeeinrichtung begrÃ¼ndet, sondern dass Erstere die Zahlung nur fÃ¼r den Vorsorgenehmer verlangen kann. GlÃ¤ubiger der Austrittsleistung bleibt der Versicherte. Sodann hat das Bundesgericht bekrÃ¤ftigt, dass es sich bei der fraglichen Gesetzesbestimmung um eine Kannvorschrift handelt (BGE 133 V 205 S. 211-212 E. 4.6), gemÃ¤ss welcher die neue Einrichtung Ã¼ber das allfÃ¤llige Vorhandensein von Austrittsleistungen aus frÃ¼heren VorsorgeverhÃ¤ltnissen von Amtes wegen Nachforschungen anstellen kann, dies aber nicht tun muss, wobei die Tragweite von Art. 3 Abs. 1 FZG in keiner Weise eingeschrÃ¤nkt wird (vgl. BGE 129 V 440 S. 443 E. 6.4). Die gleiche Rechtslage besteht auch dann, wenn das in die neue Vorsorgeeinrichtung einzubringende Vorsorgekapital von einer FreizÃ¼gigkeitseinrichtung Ã¼berwiesen werden muss (Hermann Walser, in StÃ¤mpflis Handkommentar, BVG und FZG, Bern 2010, [nachfolgend: Handkommentar] N 4 zu Art. 11 FZG).</w:t>
      </w:r>
    </w:p>
    <w:p>
      <w:r>
        <w:t>Â Â Â Â Â Â Â Â  Somit steht zwar fest, dass der KlÃ¤gerin kein eigenes Forderungsrecht gegen die Beklagte zusteht. Ob sie dennoch im Rahmen des Art. 11 Abs. 2 FZG (E. 2.2) zur FÃ¼hrung von Prozessen berechtigt ist, bleibt nachfolgend zu prÃ¼fen.</w:t>
      </w:r>
    </w:p>
    <w:p>
      <w:r>
        <w:t>3.2Â Â Â Â  Die Bestimmung des Art. 4 Abs. 2 bis FZG (E. 2.1) sollte sicherstellen, dass bei einem Eintritt in eine Vorsorgeeinrichtung alle bei FreizÃ¼gigkeitseinrichtungen vorhandenen Vorsorgekapitalien tatsÃ¤chlich auf die neue Vorsorgeeinrichtung Ã¼bertragen werden (vgl. dazu Urteil des Bundesgerichts vom 5. Juni 2008, 9C_790/2007, E. 5.3). Bei der Frage, wohin die FreizÃ¼gigkeitsleistung zu Ã¼berweisen ist, sind die Vorsorgeeinrichtungen aber auf die Mitteilung der Versicherten angewiesen, und es liegt die Verantwortung fÃ¼r die Umsetzung der Verpflichtung aus Art. 4 Abs. 2 bis FZG bei den betroffenen versicherten Personen. Eine Pflicht der neuen Vorsorgeeinrichtung, fÃ¼r die Einbringung des Vorsorgekapitals besorgt zu sein, gibt es nicht (Handkommentar N 13 zu Art. 4 FZG; BGE 133 V 205 S. 211-212 E. 4.6). Hingegen steht der neuen Vorsorgeeinrichtung gestÃ¼tzt auf Art. 11 Abs. 2 FZG das Recht zu, die aus frÃ¼heren VorsorgeverhÃ¤ltnissen zugunsten der Versicherten bestehende Austrittsleistung einzufordern. Dass dieses Recht von der Zustimmung des Versicherten abhÃ¤ngig zu machen wÃ¤re, ergibt sich weder aus dem Gesetzestext noch aus dem Sinn und Zweck der Bestimmung. Selbst wenn es ihr an der Aktivlegitimation mangelt (E. 3.1), so ist die neue Vorsorgeeinrichtung dennoch gestÃ¼tzt auf Art. 11 Abs. 2 FZG zur Klageerhebung legitimiert (vgl. auch Hans-Ulrich Stauffer, Berufliche Vorsorge, ZÃ¼rich 2005, S. 412 N 1108), unabhÃ¤ngig davon, ob dafÃ¼r eine ErmÃ¤chtigung der versicherten Person vorliegt oder nicht.</w:t>
      </w:r>
    </w:p>
    <w:p>
      <w:r>
        <w:t>Â Â Â Â Â Â Â Â  Vorliegend fÃ¤llt aber ins Gewicht, dass die Vorsorgenehmerin verstarb, bevor die KlÃ¤gerin von ihrer Berechtigung, noch anderweitig bestehende FreizÃ¼gigkeitsleistungen der Versicherten einzufordern (Art. 11 Abs. 2 FZG), Gebrauch machte. Mit dem Tod von X.___ erlosch das Vorsorge- und damit das VersicherungsverhÃ¤ltnis mit der KlÃ¤gerin. Die Erhebung einer Klage fÃ¼r Rechnung der Versicherten ist damit nicht mehr mÃ¶glich.</w:t>
      </w:r>
    </w:p>
    <w:p>
      <w:r>
        <w:t>3.3Â Â Â Â  Bei dieser Rechtslage kann offen bleiben, ob die KlÃ¤gerin - wie von ihr behauptet (Urk. 1 S. 3) - die Versicherte erfolglos aufgefordert hatte, Ã¼ber allfÃ¤llige FreizÃ¼gigkeitsguthaben Auskunft zu erteilen und deren Ãbertragung zu veranlassen. Ebenso braucht nicht abschliessend geklÃ¤rt zu werden, ob die Beklagte in analoger Anwendung der Rechtsprechung zu Art. 3 Abs. 1 FZG (vgl. BGE 133 V 205 S. 212 E. 4.6) mit einer Auszahlung an die Eltern der Verstorbenen - und damit an die Erben der Vorsorgenehmerin - nicht an eine falsche Person und damit befreiend leistete. Ebensowenig bedarf es der Beiladung der Eltern der Verstorbenen zum vorliegenden Verfahren.</w:t>
      </w:r>
    </w:p>
    <w:p>
      <w:r>
        <w:t>4.Â Â Â Â Â Â  Diese ErwÃ¤gungen fÃ¼hren zur Abweisung der Klage.</w:t>
      </w:r>
    </w:p>
    <w:p>
      <w:r>
        <w:t>5.Â Â Â Â Â Â  Im Verfahren der Verwaltungsgerichtsbeschwerde darf obsiegenden BehÃ¶rden oder mit Ã¶ffentlichrechtlichen Aufgaben betrauten Organisationen in der Regel keine ParteientschÃ¤digung zugesprochen werden. In Anwendung dieser Bestimmung hat das Bundesgericht der SUVA und den privaten UVG-Versicherern sowie - von SonderfÃ¤llen abgesehen - den Krankenkassen keine ParteientschÃ¤digungen zugesprochen, weil sie als Organisationen mit Ã¶ffentlichrechtlichen Aufgaben zu qualifizieren sind (BGE 112 V 356 E. 6 mit Hinweisen). Das hat grundsÃ¤tzlich auch fÃ¼r die TrÃ¤gerinnen oder Versicherer der beruflichen Vorsorge gemÃ¤ss BVG zu gelten (BGE 128 V 124 E. 5b, 126 V 143 E. 4a, 118 V 158 E. 7, 117 V 349 E. 8 mit Hinweis), wovon abzuweichen vorliegend kein Anlass besteht.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FÃ¼rsprecher Daniel Hoffet</w:t>
      </w:r>
    </w:p>
    <w:p>
      <w:r>
        <w:t>- Rechtsanwalt Dr. Hans-Ulrich Stauffer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