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BV.2010.00005 vom 17. Oktober 2011</w:t>
      </w:r>
    </w:p>
    <w:p>
      <w:r>
        <w:t>ZH Sozialversicherungsgericht, 2011-10-17, DE</w:t>
      </w:r>
    </w:p>
    <w:p>
      <w:r>
        <w:rPr>
          <w:b/>
        </w:rPr>
        <w:t xml:space="preserve">Quelle: </w:t>
      </w:r>
      <w:r>
        <w:t>https://mcp.opencaselaw.ch/entscheid/zh_sozialversicherungsgericht_BV.2010.00005</w:t>
      </w:r>
    </w:p>
    <w:p>
      <w:r>
        <w:t>FR: ZH_SOZIALVERSICHERUNGSGERICHT BV.2010.00005 du 17 octobre 2011</w:t>
      </w:r>
    </w:p>
    <w:p>
      <w:r>
        <w:t>IT: ZH_SOZIALVERSICHERUNGSGERICHT BV.2010.00005 del 17 ottobre 2011</w:t>
      </w:r>
    </w:p>
    <w:p>
      <w:pPr>
        <w:pStyle w:val="Heading2"/>
      </w:pPr>
      <w:r>
        <w:t>Erwägungen</w:t>
      </w:r>
    </w:p>
    <w:p>
      <w:r>
        <w:rPr>
          <w:b/>
        </w:rPr>
        <w:t>E. 2</w:t>
      </w:r>
    </w:p>
    <w:p>
      <w:r>
        <w:t>2.1Â Â Â Â  Nach Eingang des Urteils des BVGer vom 12. Januar 2010 beim hiesigen Gericht am 18. Januar 2010 holte dieses bei den Parteien Stellungnahmen ein und gab ihnen Gelegenheit, Rechtsbegehren zu stellen. Die BVG-Sammelstiftung Swiss Life, welcher das Vorsorgewerk der Z.___ AG angeschlossen war, beantragte Nichteintreten bzw., fÃ¼r den Fall des Eintretens, Abweisung der Klage (Eingabe vom 16. August 2010, Urk. 10). Der KlÃ¤ger stellte das Rechtsbegehren, es sei ihm aus der am 1. Januar 2000 verteilten Summe (freie Mittel) ein Anteil von Fr. 100'000.-- nebst Zins (BVG Mindestzinssatz plus 1 %) ab 1. MÃ¤rz 2000 auszurichten; eventualiter sei die Sache an die Beklagte zu Ã¼berweisen, damit diese unter BerÃ¼cksichtigung des Kriteriums der Gleichbehandlung die zu verteilenden Mittel neu zuteile (Eingabe vom 16. August 2010, Urk. 8).</w:t>
      </w:r>
    </w:p>
    <w:p>
      <w:r>
        <w:t>Â Â Â Â Â Â Â Â  In einem weiteren Schriftenwechsel ersuchte die Beklagte um Abweisung der Klage (Eingabe vom 23. September 2010, Urk. 15), wÃ¤hrend der KlÃ¤ger an seinen AntrÃ¤gen festhielt (Eingabe vom 25. Oktober 2010, Urk. 17). Die Stellungnahme der Beklagten veranlasste den KlÃ¤ger seinerseits zu weiteren Bemerkungen (Eingabe vom 13. Dezember 2010, Urk. 19), welche der Beklagten am 16. Dezember 2010 zugestellt wurden (Urk. 20).</w:t>
      </w:r>
    </w:p>
    <w:p>
      <w:r>
        <w:t>2.2Â Â Â Â  Am 12. August 2011 teilte die Beklagte mit, der KlÃ¤ger sei verstorben. Gleichzeitig bestritt sie vorsorglich die Aktivlegitimation der Erben bzw. der Lebenspartnerin zur WeiterfÃ¼hrung des Prozesses (Urk. 21-22). Am 7. Oktober 2011 (Urk. 29) reichte der Rechtsvertreter des verstorbenen X.___ ein Schreiben des Willensvollstreckers Dr. Y.___ (unter Beilage des Willensvollstreckerausweises) ein, worin dieser bestÃ¤tigt, dass sowohl er als Willensvollstrecker wie die als Alleinerbin eingesetzte Lebenspartnerin des Verstorbenen, A.___, das Interesse an der WeiterfÃ¼hrung des Prozesses bejahen (Urk. 30/1-2). Dementsprechend wird im Rubrum neu der Willensvollstrecker als KlÃ¤ger aufgefÃ¼hrt.</w:t>
      </w:r>
    </w:p>
    <w:p>
      <w:r>
        <w:t>3.Â Â Â Â Â Â  Auf die Vorbringen der Parteien und die eingereichten Akten wird, soweit erforderlich, im Rahmen der nachfolgenden ErwÃ¤gungen eingegangen.</w:t>
      </w:r>
    </w:p>
    <w:p>
      <w:r>
        <w:t>Das Gericht zieht in ErwÃ¤gung:</w:t>
      </w:r>
    </w:p>
    <w:p>
      <w:r>
        <w:t>1.Â Â Â Â Â Â  In formeller Hinsicht beantragt die Beklagte aus zwei GrÃ¼nden Nichteintreten auf die Klage:</w:t>
      </w:r>
    </w:p>
    <w:p>
      <w:r>
        <w:t>Â Â Â Â Â Â Â Â  Zum einen macht sie geltend, das BVGer habe in Verletzung der Dispositionsmaxime eine KlageÃ¤nderung bzw. eine Ãnderung des Streitgegenstandes (Anfechtungsobjekt VerfÃ¼gung des BSV) von Amtes wegen, ohne Vorliegen eines Begehrens und ohne Zustimmung der (heutigen) Beklagten vorgenommen, zudem bestehe fÃ¼r eine Ãberweisung an das hiesige Gericht keine bundesrechtliche Grundlage (Urk. 10 S. 2). Hierzu kann nur gesagt werden, dass der Ãberweisungsentscheid des BVGer unangefochten in Rechtskraft erwachsen und vom hiesigen Gericht nicht zu Ã¼berprÃ¼fen ist. Dass das hiesige Gericht fÃ¼r die Ã¼berwiesene Sache zustÃ¤ndig ist, wurde von keiner Partei bestritten. Es kann diesbezÃ¼glich auch auf die ausfÃ¼hrlichen ErwÃ¤gungen des BVGer verwiesen werden (Urk. 1 E. 3).</w:t>
      </w:r>
    </w:p>
    <w:p>
      <w:r>
        <w:t>Â Â Â Â Â Â Â Â  Zum anderen begrÃ¼ndete die Beklagte nach dem Tod von X.___ ihren Antrag auf Nichteintreten mit der fehlenden Aktivlegitimation allfÃ¤lliger Erben bzw. der Lebenspartnerin, da diese nie zum Kreis der Verteilplanberechtigten des Vorsorgewerks der Z.___ AG gehÃ¶rt hÃ¤tten und damit kein subjektives Recht auf freies StiftungsvermÃ¶gen erwerben konnten bzw. erwerben kÃ¶nnen (Urk. 21 S. 2). Im Weiteren verwies die Beklagte auf BGE 129 III 305, wonach Leistungen der beruflichen Vorsorge (SÃ¤ule 2a und 2b wie auch FreizÃ¼gigkeitsguthaben) nicht in den Nachlass fallen. Vorliegend geht es indessen um eine rÃ¼ckwirkende Zuteilung freier Mittel. Die Gutheissung der Klage hÃ¤tte wohl eine ebenfalls rÃ¼ckwirkende Neuberechnung der Rente mit allfÃ¤lligen Nachzahlungen zur Folge. MÃ¶glicherweise hat die langjÃ¤hrige Lebenspartnerin auch Anspruch auf eine Hinterlassenenrente oder eine Kapitalauszahlung, auf deren HÃ¶he der Ausgang des vorliegenden Verfahrens ebenfalls Einfluss hat. Die Aktivlegitimation der Erben bzw. des eingesetzten Willensvollstreckers zur WeiterfÃ¼hrung des Prozesses ist damit ohne Weiteres gegeben. Auf die Klage ist einzutreten.</w:t>
      </w:r>
    </w:p>
    <w:p>
      <w:r>
        <w:t>2.Â Â Â Â Â Â  Materiell zu prÃ¼fen ist, ob der KlÃ¤ger bei der per 1. Januar 2000 erfolgten Verteilung freier Mittel der Z.___ AG zu Unrecht nicht beteiligt wurde und ob ihm ein Anteil von Fr. 100'000.-- zusteht bzw. ob die freien Mittel allenfalls unter BerÃ¼cksichtigung des KlÃ¤gers neu zu verteilen sind.</w:t>
      </w:r>
    </w:p>
    <w:p>
      <w:r>
        <w:t>Â Â Â Â Â Â Â Â  Der KlÃ¤ger begrÃ¼ndet seinen Anspruch im Wesentlichen damit, die damaligen hohen freien Reserven (Fr. 2.477 Mio) seien noch wÃ¤hrend seiner Aktivzeit entstanden, weshalb er ohne EinschrÃ¤nkung an deren Verteilung zu beteiligen sei. Im Weiteren entspreche die Aufteilung der per 1. Januar 2000 vorhandenen freien Mittel einer Teilliquidation. Bei den nachfolgend durchgefÃ¼hrten Teilliquidationen, so etwa bei derjenigen per 1. Januar 2002, seien die Rentner berÃ¼cksichtigt worden, weshalb nicht einsehbar sei, dass bei der Verteilung per 1. Januar 2000 anders vorgegangen werden sollte (Urk. 8 S. 6). DemgegenÃ¼ber bestritt die Beklagte jede Ungleichbehandlung des KlÃ¤gers. Vorab bestehe kein Rechtsanspruch des KlÃ¤gers auf freies StiftungsvermÃ¶gen, da er die Vorsorgeeinrichtung per 1. Mai 1998 verlassen habe. Zu berÃ¼cksichtigen sei aber auch, dass der KlÃ¤ger bei der laufenden Teilliquidation einen Anteil an freien Mitteln von Fr. 182'692.-- erhalten soll (vgl. die detaillierte Sachverhaltsfeststellung des BVGer, Urk. 1 Ziff. B S. 4). Eine zusÃ¤tzliche ErhÃ¶hung um Fr. 100'000.-- wÃ¼rde gar zu einer unangemessenen Bevorzugung des KlÃ¤gers fÃ¼hren, zumal ihm die Arbeitgeberin mit einer Einmaleinlage von Fr. 495'000.-- eine vorzeitige Pensionierung zu vorteilhaften Konditionen ermÃ¶glicht habe (Urk. 10 S. 5 f. und Urk. 15).</w:t>
      </w:r>
    </w:p>
    <w:p>
      <w:r>
        <w:rPr>
          <w:b/>
        </w:rPr>
        <w:t>E. 3</w:t>
      </w:r>
    </w:p>
    <w:p>
      <w:r>
        <w:t>3.1Â Â Â Â  Gegen das Gebot der rechtsgleichen Behandlung (Art. 8 Abs. 1 der Bundesverfassung, BV) verstÃ¶sst eine Regelung, wenn sie sich nicht auf ernsthafte GrÃ¼nde stÃ¼tzen lÃ¤sst, sinn- oder zwecklos ist oder rechtliche Unterscheidungen trifft, fÃ¼r die sich ein vernÃ¼nftiger Grund nicht finden lÃ¤sst. Gleiches gilt, wenn sie es unterlÃ¤sst, Unterscheidungen zu treffen, die richtigerweise hÃ¤tten berÃ¼cksichtigt werden sollen (BGE 133 V 42 E. 3.1 mit Hinweisen).</w:t>
      </w:r>
    </w:p>
    <w:p>
      <w:r>
        <w:t>Â Â Â Â Â Â Â Â  Unter Hinweis auf die Urteile des Bundesgerichts B 59/02 und B 60/02 vom 27. Februar 2004 hielt das BSV in den Mitteilungen Ã¼ber die berufliche Vorsorge Nr. 74 fest, wenn ein Arbeitnehmer sein ArbeitsverhÃ¤ltnis auflÃ¶se und aus der Vorsorgeeinrichtung austrete, habe er Anspruch auf die in Gesetz und Reglement vorgesehenen Leistungen. Ausser in FÃ¤llen von Teil- und Gesamtliquidation habe er aber keinen Anspruch auf einen Teil der freien Mittel, da es sich hierbei um Ermessensleistungen handle. Im Weiteren hat die Rechtsprechung im Zusammenhang mit Teil- oder Gesamtliquidationen wiederholt entschieden, dass es den Grundsatz der Gleichbehandlung der DestinatÃ¤re nicht verletzt, wenn bei der Verteilung der freien Stiftungsmittel die freiwillig aus einer Vorsorgeeinrichtung Ausgeschiedenen nicht berÃ¼cksichtigt werden (BGE 133 V 607 E. 4.2.2).</w:t>
      </w:r>
    </w:p>
    <w:p>
      <w:r>
        <w:t>3.2Â Â Â Â  Dass die Verteilung von Fr. 1 Mio per 1. Januar 2000 nicht im Rahmen einer Teilliquidation durchgefÃ¼hrt wurde, gehen mit dem BVGer (Urk. 1 Ziff. Aa S. 2) grundsÃ¤tzlich auch die Parteien aus (Urk. 8 S. 2 und Urk. 10 S. 4). Soweit der KlÃ¤ger trotzdem eine Analogie zur Teilliquidation herstellen will und damit geltend macht, es seien bei der vorliegend strittigen freiwilligen Verteilung die gleichen Kriterien anzuwenden wie bei den spÃ¤teren Teilliquidationen (Urk. 8 S. 5 Ziffer 9), kann ihm nicht gefolgt werden. Wie vorstehend erwÃ¤hnt, ist die Verteilung freier Mittel ausserhalb eines Liquidationstatbestandes eine reine Ermessensleistung. Abgesehen davon trifft die Behauptung des KlÃ¤gers, bei den seit 1997 durchgefÃ¼hrten mehreren Teilliquidationen des Vorsorgewerks der Z.___ AG seien immer die gleichen Verteilkriterien angewendet worden, nicht zu, wie der Sachverhaltsdarstellung des BVGer ohne Weiteres zu entnehmen ist (Urk. 1 Ziff. A.a-A.c S. 2 f.).</w:t>
      </w:r>
    </w:p>
    <w:p>
      <w:r>
        <w:t>3.3Â Â Â Â  GemÃ¤ss Protokoll der Verwaltungskommissions-Sitzung vom 21. Mai 1999 der Pensionskasse der Z.___ AG entschied sich die Kommission fÃ¼r die Verteilung von Fr. 1 Mio an die damals 39 aktiven Versicherten (Urk. 9/1 und Urk. 9/3). Die Pensionierten wurden damit bewusst nicht berÃ¼cksichtigt. Wie vorstehend erwÃ¤hnt, verletzt allein der Umstand, dass bei der Verteilung freier Mittel verschiedene Gruppen gebildet und diese unterschiedlich behandelt werden, den Grundsatz der Gleichbehandlung nicht. Die Unterscheidung Aktive/Pensionierte ist ein sachliches Kriterium, wofÃ¼r es durchaus plausible GrÃ¼nde gibt. So tragen die Pensionierten aufgrund ihres Anspruches auf Besitzstandswahrung etwa keine Kassenrisiken mehr mit und mÃ¼ssen auch in konjunkturell schwierigen Zeiten nicht mit Rentenreduktionen rechnen. Hinzu kommt, dass der KlÃ¤ger bei seiner vorzeitigen Pensionierung offenbar noch von gesunden Finanzen der Arbeitgeberin profitieren konnte, was fÃ¼r die verbleibenden Aktiven in Zukunft mÃ¶glicherweise nicht mehr zutrifft. Da der KlÃ¤ger zu Recht nicht behauptet, gegenÃ¼ber anderen Pensionierten benachteiligt worden zu sein, und weitere UmstÃ¤nde, welche den Ermessensentscheid der Verwaltungskommission als geradezu willkÃ¼rlich erscheinen liessen - nur dies kÃ¶nnte eine richterliche Korrektur rechtfertigen - nicht ersichtlich sind, ist die Klage abzuweisen.</w:t>
      </w:r>
    </w:p>
    <w:p>
      <w:r>
        <w:t>Das Gericht erkennt:</w:t>
      </w:r>
    </w:p>
    <w:p>
      <w:r>
        <w:t>1.Â Â Â Â Â Â Â Â  Die Klage wird abgewiesen.</w:t>
      </w:r>
    </w:p>
    <w:p>
      <w:r>
        <w:t>2.Â Â Â Â Â Â Â Â  Das Verfahren ist kostenlos.</w:t>
      </w:r>
    </w:p>
    <w:p>
      <w:r>
        <w:t>3.Â Â Â Â Â Â Â Â  Zustellung gegen Empfangsschein an:</w:t>
      </w:r>
    </w:p>
    <w:p>
      <w:r>
        <w:t>- Rechtsanwalt Dr. Ueli Kieser</w:t>
      </w:r>
    </w:p>
    <w:p>
      <w:r>
        <w:t>- BVG-Sammelstiftung Swiss Life, Vorsorgewerk der Z.___ AG</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