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BV.2009.00071 vom 20. Mai 2011</w:t>
      </w:r>
    </w:p>
    <w:p>
      <w:r>
        <w:t>ZH Sozialversicherungsgericht, 2011-05-20, DE</w:t>
      </w:r>
    </w:p>
    <w:p>
      <w:r>
        <w:rPr>
          <w:b/>
        </w:rPr>
        <w:t xml:space="preserve">Quelle: </w:t>
      </w:r>
      <w:r>
        <w:t>https://mcp.opencaselaw.ch/entscheid/zh_sozialversicherungsgericht_BV.2009.00071</w:t>
      </w:r>
    </w:p>
    <w:p>
      <w:r>
        <w:t>FR: ZH_SOZIALVERSICHERUNGSGERICHT BV.2009.00071 du 20 mai 2011</w:t>
      </w:r>
    </w:p>
    <w:p>
      <w:r>
        <w:t>IT: ZH_SOZIALVERSICHERUNGSGERICHT BV.2009.00071 del 20 maggio 2011</w:t>
      </w:r>
    </w:p>
    <w:p>
      <w:pPr>
        <w:pStyle w:val="Heading2"/>
      </w:pPr>
      <w:r>
        <w:t>Erwägungen</w:t>
      </w:r>
    </w:p>
    <w:p>
      <w:r>
        <w:rPr>
          <w:b/>
        </w:rPr>
        <w:t>E. 1</w:t>
      </w:r>
    </w:p>
    <w:p>
      <w:r>
        <w:t>/</w:t>
      </w:r>
    </w:p>
    <w:p>
      <w:r>
        <w:rPr>
          <w:b/>
        </w:rPr>
        <w:t>E. 6</w:t>
      </w:r>
    </w:p>
    <w:p>
      <w:r>
        <w:t>% gekÃ¼rzt (Â§ 17 Abs. 1 VV). GemÃ¤ss Â§ 68 VV finanziert der Arbeitgeber der Versicherungskasse die ErgÃ¤nzung der Spargutgaben im Sinne von Â§ 17 VV.</w:t>
      </w:r>
    </w:p>
    <w:p>
      <w:r>
        <w:t>Â Â Â Â Â Â Â Â  Versicherte Personen, welche im Zeitpunkt des AltersrÃ¼cktritts oder der Entlassung altershalber noch keinen Anspruch auf eine ordentliche Rente der Alters- und Hinterlassenenversicherung (AHV) haben, kÃ¶nnen einen ÃberbrÃ¼ckungszuschuss beantragen. Der ÃberbrÃ¼ckungszuschuss wird bis zum ordentlichen Rentenalter der AHV ausgerichtet (Â§ 84 Abs. 1 VV). Bei VollzeitbeschÃ¤ftigten entspricht er 75 % der maximalen Altersrente der AHV; bei verheirateten Personen wird der Zuschuss um 30 % erhÃ¶ht, ausser die versicherte Person verzichte auf diese ErhÃ¶hung (Â§ 84 Abs. 2 VV). Nach Â§ 85 VV wird der ÃberbrÃ¼ckungszuschuss von der versicherten Person und vom angeschlossenen Arbeitgeber im VerhÃ¤ltnis von 1:1,5 finanziert (Abs. 1). Der Anteil des Arbeitgebers wird monatlich in Rechnung gestellt (Abs. 3).</w:t>
      </w:r>
    </w:p>
    <w:p>
      <w:r>
        <w:t>2.</w:t>
      </w:r>
    </w:p>
    <w:p>
      <w:r>
        <w:t>2.1Â Â Â Â  Der KlÃ¤ger fÃ¼hrte zur KlagebegrÃ¼ndung im Wesentlichen aus, wohl sei auch er ursprÃ¼nglich davon ausgegangen, dass nicht jede KÃ¼ndigung einer versicherten Person ab Alter 55 eine Entlassung altershalber darstelle (Urk. 13 S. 4 f.). Nachdem das Bundesgericht mit Urteil 9C_426/2008 vom 23. Dezember 2008 aber entschieden habe, dass es nicht im Ermessen des Arbeitgebers stehe, ob dem von diesem gekÃ¼ndigten Mitarbeiter eine Rente wegen Entlassung altershalber nach Â§ 11 VV gewÃ¤hrt werde, habe sich die Beklagte auch an der Finanzierung der Rentenleistungen und des monatlichen ÃberbrÃ¼ckungszuschusses zu beteiligen, die fÃ¼r den entlassenen Ã¼ber 55-jÃ¤rigen Y.___ aufzuwenden seien (Urk. 1 S. 4 ff., Urk. 13 S. 3 ff., Urk. 27 S. 3 f.). Der mit der Beklagten abgeschlossene Versicherungsvertrag sei nicht nach den fÃ¼r einen reinen Versicherungsvertrag im Sinne des Bundesgesetzes Ã¼ber den Versicherungsvertrag (VVG) geltenden Regeln, sondern analog einem Vorsorgereglement auszulegen (Urk. 13 S. 5).</w:t>
      </w:r>
    </w:p>
    <w:p>
      <w:r>
        <w:t>2.2Â Â Â Â  Die Beklagte stellte sich demgegenÃ¼ber im Wesentlichen auf den Standpunkt, sie habe mit dem KlÃ¤ger vereinbart, dass sie bei einer Entlassung jeweils frei darÃ¼ber entscheiden kÃ¶nne, ob sie eine Alterspensionierung nach Â§ 11 beziehungsweise Â§ 17 VV durchfÃ¼hren wolle. Im Falle von Y.___ sei eine von ihr finanziell unterstÃ¼tzte vorzeitige Pensionierung im Sinne einer Entlassung altershalber angesichts der aus leistungs- und verhaltensbezogenen GrÃ¼nden ausgesprochenen KÃ¼ndigung von vornherein ausser Betracht gefallen. Das Urteil des Bundesgerichts 9C_426/2008 vom 23. Dezember 2008 beschlage ausschliesslich das VerhÃ¤ltnis zwischen der BVK und deren Vorsorgenehmern. FÃ¼r das - auf einem Innominatvertrag beruhende - rein privatrechtlich geregelte AnschlussverhÃ¤ltnis sei es indes nicht von Bedeutung. Die eingeklagte Forderung entbehre demnach einer Rechtsgrundlage (Urk. 8 S. 3 ff., Urk. 21 S. 3 ff.).</w:t>
      </w:r>
    </w:p>
    <w:p>
      <w:r>
        <w:t>3.</w:t>
      </w:r>
    </w:p>
    <w:p>
      <w:r>
        <w:t>3.1Â Â Â Â  Strittig und zu prÃ¼fen ist, ob die Beklagte sich an der Finanzierung der dem Versicherten von der BVK - gestÃ¼tzt auf Â§ 11 in Verbindung mit Â§ 17 und auf Â§ 84 VV - mit Wirkung ab 1. Juni 2008 ausgerichteten Altersleistungen (Urk. 2/5) zu beteiligen hat.</w:t>
      </w:r>
    </w:p>
    <w:p>
      <w:r>
        <w:t>3.2Â Â Â Â  GemÃ¤ss dem - sich auf die Version 2002 des Versicherungsvertrags beziehenden - Urteil des Bundesgerichts 9C_426/2008 vom 23. Dezember 2008 stellt jede vom Arbeitgeber ausgesprochene ordentliche KÃ¼ndigung des ArbeitsverhÃ¤ltnisses mit einem Arbeitnehmer, der das 60. Altersjahr vollendet hat, eine Entlassung altershalber im Sinne von Â§ 11 VV dar. Nachdem die Altersgrenze fÃ¼r die Anspruchsberechtigung im Rahmen der Teilrevision der Statuten der BVK per 1. Januar 2005 auf 55 Jahre reduziert worden ist (vgl. Â§ 11 VV, Version 2005; Urk. 2/10), ist entsprechend dem zitierten Entscheid fÃ¼r die - hier bedeutsame - Zeit ab 1. Januar 2005 davon auszugehen, dass die KÃ¼ndigung eines mindestens 55jÃ¤hrigen Arbeitnehmers, jedenfalls sofern sie nicht fristlos erfolgte, stets als Entlassung altershalber zu qualifizieren ist. Da das Institut der Entlassung altershalber nach Â§ 11 VV - sowohl in der bis 31. Dezember 2004 als auch in der hier relevanten, ab 1. Januar 2005 gÃ¼ltigen Fassung - verschuldensunabhÃ¤ngig ausgestaltet ist, kann vorliegend offen bleiben, ob Grund fÃ¼r die - unter Einhaltung der gesetzlich KÃ¼ndungsfrist erfolgte - AuflÃ¶sung des ArbeitsverhÃ¤ltnisses seitens der Beklagten ein Fehlverhalten des Versicherten (Urk. 21 S. 4 ff.) war (vgl. hiezu Urteil des Bundesgerichts 9C_426/2008 vom 23. Dezember 2008, E. 3.4, sowie Urteil des hiesigen Gerichts vom 31. MÃ¤rz 2010 im Prozess Nr. BV.2008.00039, E. 2 und 3).</w:t>
      </w:r>
    </w:p>
    <w:p>
      <w:r>
        <w:t>3.3Â Â Â Â  Mit Unterzeichnung des Anschlussvertrags an die BVK anerkannte die Beklagte am 13. Dezember 2001 (Urk. 2/1) beziehungsweise 10. Januar 2005 (Urk. 2/2) die mit Wirkung ab 1. Januar 2002 respektive 1. Januar 2005 gÃ¼ltigen Statuten und Reglemente der ersteren (vgl. hiezu Stauffer, Berufliche Vorsorge, ZÃ¼rich 2005, Rz. 1265). Damit, dass die Bestimmungen des Reglements der BVK als Ã¶ffentlich-rechtlicher Vorsorgeeinrichtung im Rahmen gerichtlicher Auslegung abweichend vom Willen der Arbeitgeberfirma, der Vorsorgeeinrichtung oder - wie vorliegend - gar beider Parteien (Urk. 1 S. 3, Urk. 8 S. 6 ff., Urk. 9/1-4, Urk. 9/7, Urk. 13 S. 4) interpretiert werden kÃ¶nnten, hatte die Beklage bei Abschluss des Anschlussvertrages zu rechnen (vgl. hiezu E. 1.2). Von allfÃ¤lligen fÃ¼r sie ungÃ¼nstigen Auswirkungen einer von der eigenen Deutung abweichenden gerichtlichen Interpretation einer Reglementsbestimmung kann sich die angeschlossene Arbeitgeberfirma folglich auch nicht unter Berufung auf das privatrechtlich geregelte AnschlussverhÃ¤ltnis (Urk. 8 S. 7 ff., Urk. 21 S. 3 ff.) befreien.</w:t>
      </w:r>
    </w:p>
    <w:p>
      <w:r>
        <w:t>Â Â Â Â Â Â Â Â  Mit der Unterzeichnung der per 1. Januar 2005 in Kraft getretenen Version 2005 des Versicherungsvertrages und des freiwilligen Zusatzes dazu (Urk. 2/2) hat sich die Beklagte unbestrittenermassen dazu verpflichtet, im Falle einer Entlassung altershalber im Sinne von Â§ 11 VV die ErgÃ¤nzung der Sparguthaben im Sinne von Â§ 17 VV zu finanzieren (Â§ 68 VV) und sich entsprechend dem im Â§ 85 Abs. 1 VV vorgesehenen VerteilungsschlÃ¼ssel mit monatlichen Zahlungen (Â§ 85 Abs. 3 VV) an der Finanzierung des ÃberbrÃ¼ckungszuschusses (Â§ 84 VV) zu beteiligen. Da die KÃ¼ndigung von Y.___ per 31. Mai 2008 nach dem Gesagten eine Entlassung altershalber darstellte, hat die Beklagte ihren sich daraus ergebenden finanziellen Verpflichtungen mit Wirkung ab 1. Juni 2008 nachzukommen.</w:t>
      </w:r>
    </w:p>
    <w:p>
      <w:r>
        <w:t>3.4Â Â Â Â  Der KlÃ¤ger bezifferte den von der Beklagten zu Ã¼bernehmenden Anteil am ÃberbrÃ¼ckungszuschuss mit Fr. 1'292.85 monatlich und die ergÃ¤nzende Spargutschrift mit Fr. 175'356.60 (Urk. 1 S. 5, Urk. 13 S. 2). Nach Lage der Akten (vgl. hiezu insbesondere Urk. 2/5 und Urk. 2/6) und unter BerÃ¼cksichtigung der Â§Â§ 16 f. und Â§Â§ 84 f. VV sind diese - unbestritten gebliebenen (Urk. 8, Urk. 21) - BetrÃ¤ge nicht zu beanstanden.</w:t>
      </w:r>
    </w:p>
    <w:p>
      <w:r>
        <w:t>3.5Â Â Â Â  FÃ¼r die ergÃ¤nzende Spargutschrift und die bis zum Zeitpunkt der ErÃ¶ffnung dieses Urteils fÃ¤llig gewordenen ÃberbrÃ¼ckungszuschuss-Betreffnisse ist antragsgemÃ¤ss (Urk. 1 S. 2, Urk. 13 S. 2) ab 29. Oktober 2009 (Einreichung der Klage) Verzugszins geschuldet, wobei dessen HÃ¶he mangels einer anderweitigen Regelung in den Statuten 5 % betrÃ¤gt (Art. 104 Abs. 1 in Verbindung mit Art. 102 Abs. 1 OR). FÃ¼r die weiteren ÃberbrÃ¼ckungszuschussleistungen sind dem KlÃ¤ger ab dem jeweiligen FÃ¤lligkeitsdatum Verzugszinsen von 5 % zuzusprechen.</w:t>
      </w:r>
    </w:p>
    <w:p>
      <w:r>
        <w:t>4.Â Â Â Â Â Â  Betreffend den Antrag des obsiegenden KlÃ¤gers auf Zusprechung einer ProzessentschÃ¤digung (Urk. 1 S. 2, Urk. 13 S. 2) ist festzuhalten, dass Art. 73 Abs. 2 BVG zwar einen entsprechenden Anspruch der obsiegenden VersicherungstrÃ¤gerin nicht ausschliesst.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 [OG]) - und in Ãbereinstimmung mit Â§ 34 Abs. 2 des Gesetzes Ã¼ber das Sozialversicherungsgericht (GSVGer) e contrario - praxisgemÃ¤ss keine ParteientschÃ¤digungen zugesprochen. Es besteht kein Grund, beim KlÃ¤ger anders zu verfahren (vgl. BGE 128 V 133 E. 5b, 126 V 150 E. 4a, 118 V 169 E. 7 und 117 V 349 E. 8, mit Hinweisen; vgl. auch BGE 122 V 125 E. 5b und 320 E. 1a und b sowie 112 V 356 E. 6).</w:t>
      </w:r>
    </w:p>
    <w:p>
      <w:r>
        <w:t>Das Gericht erkennt:</w:t>
      </w:r>
    </w:p>
    <w:p>
      <w:r>
        <w:t>1.Â Â Â Â Â Â Â Â  In Gutheissung der Klage wird die Beklagte verpflichtet, dem KlÃ¤ger zur Finanzierung der Leistungen zugunsten des Versicherten Y.___ einen ÃberbrÃ¼ckungszuschuss von monatlich Fr. 1'292.85 fÃ¼r die Dauer vom 1. Juni 2008 bis 29. Februar 2016 sowie eine ergÃ¤nzende Spargutschrift von Fr. 175'356.60 zu bezahlen, wobei die Leistungen im Sinne der ErwÃ¤gungen zu verzinsen sind.</w:t>
      </w:r>
    </w:p>
    <w:p>
      <w:r>
        <w:t>2.Â Â Â Â Â Â Â Â  Das Verfahren ist kostenlos.</w:t>
      </w:r>
    </w:p>
    <w:p>
      <w:r>
        <w:t>3.Â Â Â Â Â Â Â Â  Dem KlÃ¤ger wird keine ProzessentschÃ¤digung zugesprochen.</w:t>
      </w:r>
    </w:p>
    <w:p>
      <w:r>
        <w:t>4.Â Â Â Â Â Â Â Â  Zustellung gegen Empfangsschein an:</w:t>
      </w:r>
    </w:p>
    <w:p>
      <w:r>
        <w:t>- FÃ¼rsprecherin Cordula E. Niklaus</w:t>
      </w:r>
    </w:p>
    <w:p>
      <w:r>
        <w:t>- Rechtsanwalt Dr. Alfred Blesi</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