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BV.2009.00026 vom 16. September 2010</w:t>
      </w:r>
    </w:p>
    <w:p>
      <w:r>
        <w:t>ZH Sozialversicherungsgericht, 2010-09-16, DE</w:t>
      </w:r>
    </w:p>
    <w:p>
      <w:r>
        <w:rPr>
          <w:b/>
        </w:rPr>
        <w:t xml:space="preserve">Quelle: </w:t>
      </w:r>
      <w:r>
        <w:t>https://mcp.opencaselaw.ch/entscheid/zh_sozialversicherungsgericht_BV.2009.00026</w:t>
      </w:r>
    </w:p>
    <w:p>
      <w:r>
        <w:t>FR: ZH_SOZIALVERSICHERUNGSGERICHT BV.2009.00026 du 16 septembre 2010</w:t>
      </w:r>
    </w:p>
    <w:p>
      <w:r>
        <w:t>IT: ZH_SOZIALVERSICHERUNGSGERICHT BV.2009.00026 del 16 settembre 2010</w:t>
      </w:r>
    </w:p>
    <w:p>
      <w:pPr>
        <w:pStyle w:val="Heading2"/>
      </w:pPr>
      <w:r>
        <w:t>Erwägungen</w:t>
      </w:r>
    </w:p>
    <w:p>
      <w:r>
        <w:rPr>
          <w:b/>
        </w:rPr>
        <w:t>E. 1.1</w:t>
      </w:r>
    </w:p>
    <w:p>
      <w:r>
        <w:t>1.1.1Â Â  Ob eine Partei als KlÃ¤gerin aufzutreten berechtigt (Aktivlegitimation) und welche Partei einzuklagen ist (Passivlegitimation), bestimmt sich - auch im Ã¶ffentlichrechtlichen Klageverfahren - nach dem materiellen Recht. GrundsÃ¤tzlich ist der TrÃ¤ger des fraglichen Rechts aktivlegitimiert, passivlegitimiert der materiell Verpflichtete, gegen den sich das Recht richtet. Aktiv- und Passivlegitimation sind folglich nicht Bedingungen im Sinne von Prozessvoraussetzungen, von denen die ZulÃ¤ssigkeit der Klage abhÃ¤ngen wÃ¼rde; sie gehÃ¶ren vielmehr zur materiellen BegrÃ¼ndetheit des Klagebegehrens, weshalb ihr Fehlen zur Abweisung und nicht zur RÃ¼ckweisung der - bzw. zum Nichteintreten auf die - Klage fÃ¼hrt (Urteil des Bundesgerichts in Sachen A. vom 27. Januar 2010, 9C_40/2009, Erw. 3.2.1 mit Hinweisen).</w:t>
      </w:r>
    </w:p>
    <w:p>
      <w:r>
        <w:t>1.1.2Â Â  Ob eine Arbeitgeberin - hier die A.___ - im Rahmen einer nach Art. 73 des Bundesgesetzes Ã¼ber die berufliche Alters-, Hinterlassenen- und Invalidenvorsorge (BVG) vom Berufsvorsorgegericht zu beurteilenden Streitigkeit zwischen Vorsorgeeinrichtungen, Arbeitgebern und Anspruchsberechtigten konkret als KlÃ¤gerin aufzutreten berechtigt ist (Aktivlegitimation), bestimmt sich nach dem Gesagten nach dem materiellen Recht. GrundsÃ¤tzlich ist der TrÃ¤ger des fraglichen Rechts aktivlegitimiert (Erw. 1.1.1 hiervor). Im Zusammenhang mit AnschlussvertrÃ¤gen zwischen Vorsorgeeinrichtung und Arbeitgeber im Besonderen ist Letzterer im Klageverfahren nach Art. 73 BVG aktivlegitimiert, sofern die Streitigkeit eine Frage betrifft, die Regelungsgegenstand des Anschlussvertrages zwischen ihm und der Vorsorgeeinrichtung bildet. Liegt die Streitigkeit nicht im Anschlussvertrag selber begrÃ¼ndet, sondern in einem davon zu unterscheidenden anderen VertragsverhÃ¤ltnis, wie beispielsweise einem Gesamtarbeitsvertrag, ist nicht das Berufsvorsorgegericht, sondern das Zivilgericht zustÃ¤ndig (Urteil des Bundesgerichts in Sachen A. vom 27. Januar 2010, 9C_40/2009, Erw. 3.2.2 mit Hinweisen).</w:t>
      </w:r>
    </w:p>
    <w:p>
      <w:r>
        <w:t>1.2Â Â Â Â  Im Bereich der freiwilligen, der vor- und vorliegend interessierenden Ã¼berobligatorischen beruflichen Vorsorge (SÃ¤ule 2b) wird das RechtsverhÃ¤ltnis zwischen der Vorsorgeeinrichtung und dem Vorsorgenehmer durch einen privatrechtlichen Vorsorgevertrag begrÃ¼ndet, der rechtsdogmatisch den InnominatvertrÃ¤gen zuzuordnen ist. So wie die BegÃ¼nstigten ihren Anspruch gegenÃ¼ber einer Lebensversicherungsgesellschaft aus eigenem Recht erwerben, haben Anspruchsberechtigte auch bei der SÃ¤ule 2b einen eigenen Anspruch gegen die Vorsorgeeinrichtung. Dieser basiert auf Art. 112 Abs. 2 OR (BGE 129 III 305 Erw. 2.2).</w:t>
      </w:r>
    </w:p>
    <w:p>
      <w:r>
        <w:t>Â Â Â Â Â Â Â Â  GemÃ¤ss Art. 112 Abs. 2 OR kann der Dritte oder sein Rechtsnachfolger selbstÃ¤ndig die ErfÃ¼llung fordern. Die Berechtigung, vom Promittenten die Erbringung der geschuldeten Leistung zu verlangen, steht deshalb in der Regel sowohl dem Promissar als auch dem Dritten einzeln zu, und keiner ist bei der Geltendmachung auf die Mitwirkung und/oder Zustimmung des Anderen angewiesen, sofern eine solche nicht vertraglich vorbehalten ist (Weber, Berner Kommentar, Art. 112 OR Rz 127). Ausnahmsweise vermag sich indessen aus Gesetz oder Parteivereinbarung eine AlleinglÃ¤ubigerschaft des Dritten zu ergeben. So ist beispielsweise im Rahmen einer Kollektiv-Krankenversicherung allein der Versicherte und nicht auch der Versicherungsnehmer Inhaber des Forderungsrechts (Weber, a.a.O, Arzt 112 OR Rz 130 mit Hinweisen).</w:t>
      </w:r>
    </w:p>
    <w:p>
      <w:r>
        <w:rPr>
          <w:b/>
        </w:rPr>
        <w:t>E. 2</w:t>
      </w:r>
    </w:p>
    <w:p>
      <w:r>
        <w:t>2.1Â Â Â Â  Die KlÃ¤gerin schloss sich als Arbeitgeberin mit Vertrag vom 15. November 2005 dem Vorsorgewerk der Beklagten zum Zwecke der beruflichen Vorsorge ihrer Angestellten nach dem Bundesgesetz Ã¼ber die berufliche Alters-, Hinterlassenen- und Invalidenvorsorge (BVG) an (Anschlussvertrag Nr. 65485; Urk. 7/20). In Art. 2 Abs. 1 dieses Vertrages beauftragt die Arbeitgeberin die Sammelstiftung, als Versicherungsnehmerin und RechtstrÃ¤gerin bei der Swiss Life AG (im Folgenden: Kollektivlebensversicherung) eine Kollektivlebensversicherung abzuschliessen. Hinsichtlich des Kreises der zu versichernden LohnempfÃ¤nger, der Natur, des Ausmasses und der Finanzierung der Versicherungsleistungen wird auf das Vorsorgereglement verwiesen (Art. 2 Abs. 1 zweiter Satz). Weiter regelt der Anschlussvertrag die Pflicht der Arbeitgeberin, die aufgrund des Vorsorgereglements geschuldeten BeitrÃ¤ge zu bezahlen, wobei die Kollektivversicherung zur direkten Einforderung berechtigt erklÃ¤rt wurde (Art. 5). In Bezug auf Rechte und Pflichten der zu versichernden Arbeitnehmer ist im Anschlussvertrag lediglich die Verpflichtung des Kollektivversicherers enthalten, Versicherungsleistungen direkt an die Versicherten oder Anspruchsberechtigten auszuzahlen (Art. 7). Die AnsprÃ¼che der Versicherten oder ihrer Hinterbliebenen als solche sind im Vorsorgereglement der Beklagten definiert (vgl. Urk. 2/5).</w:t>
      </w:r>
    </w:p>
    <w:p>
      <w:r>
        <w:t>Â Â Â Â Â Â Â Â  Laut Art. 17 des Vorsorgereglements haben Witwen, deren Ehegatten vor dem Pensionsalter versterben, Anspruch auf eine Ehegattenrente oder eine einmalige Abfindung. Die Kinder des Verstorbenen haben bis zum vollendeten 20. Altersjahr Anspruch auf eine Kinderrente (Art. 18).</w:t>
      </w:r>
    </w:p>
    <w:p>
      <w:r>
        <w:t>2.2Â Â Â Â  Zwar hat die Arbeitgeberin den Anschlussvertrag abgeschlossen und ist damit Versicherungsnehmerin. Versichert sind jedoch die bei ihr beschÃ¤ftigten Arbeitnehmerinnen und Arbeitnehmer. Diese treten bei Abschluss des Arbeitsvertrages auch der Vorsorgeeinrichtung bei und erwerben erst dadurch ein - eigenes und unabgeleitetes - Forderungsrecht gegenÃ¼ber der Vorsorgeeinrichtung. Der strittige Anspruch auf eine Witwenabfindung beziehungsweise auf eine Waisenrente betrifft das reglementarisch geregelte RechtsverhÃ¤ltnis zwischen der Vorsorgeeinrichtung und den Hinterbliebenen des Versicherten, nicht aber dasjenige zwischen der Beklagten und der KlÃ¤gerin als Arbeitgeberin. Es liegt namentlich keine Streitigkeit zwischen Arbeitgeberin und Vorsorgeeinrichtung Ã¼ber eine Frage vor, die selbst Regelungstatbestand des Anschlussvertrages bildet. Die KlÃ¤gerin hat sich zur BegrÃ¼ndung ihres Standpunkts auch an keiner Stelle auf eine Bestimmung des Anschlussvertrages berufen. Dass der Arbeitgeber nicht TrÃ¤ger des fraglichen Rechtsanspruches sein kann, ergibt sich auch aus dem Umstand, dass den Hinterbliebenen ein Wahlrecht (Rente oder Abfindung) zusteht (Art. 17 des Vorsorgereglements), das (ohne entsprechende vertragliche Vereinbarung) auch nicht durch den Promissar ausgeÃ¼bt werden kann. Steht der Anspruch auf die reglementarischen Leistungen dem versicherten Arbeitnehmer beziehungsweise dessen Hinterlassenen zu, folgt hieraus, dass diese auch das alleinige Forderungsrecht haben. Die Aktivlegitimation der klagenden Arbeitgeberin ist daher zu verneinen, und es besteht kein Raum fÃ¼r die Beurteilung der materiellrechtlichen BegrÃ¼ndetheit des geltend gemachten Anspruchs auf eine Witwenabfindung und eine Waisenrente.</w:t>
      </w:r>
    </w:p>
    <w:p>
      <w:r>
        <w:t>3.Â Â Â Â Â Â  Nach Â§ 49 Abs. 2 der Zivilprozessordung (ZPO) ist ein Parteiwechsel, unter Vorbehalt der Bestimmungen Ã¼ber die Gesamtnachfolge, nur mit Zustimmung aller bisherigen Parteien zulÃ¤ssig. Die Beklagte hat im vorliegenden Fall einem Parteiwechsel nicht zugestimmt, weshalb er nicht in Betracht kommt.</w:t>
      </w:r>
    </w:p>
    <w:p>
      <w:r>
        <w:t>4.Â Â Â Â Â Â  Nach dem Dargelegten ist die Klage mangels Aktivlegitimation abzuweisen.</w:t>
      </w:r>
    </w:p>
    <w:p>
      <w:r>
        <w:rPr>
          <w:b/>
        </w:rPr>
        <w:t>E. 5</w:t>
      </w:r>
    </w:p>
    <w:p>
      <w:r>
        <w:t>5.1Â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Â Â Â Â 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t>5.2Â Â Â Â  Vorliegend besteht kein Grund, von diesen GrundsÃ¤tzen abzuweichen, weshalb der Beklagten keine ProzessentschÃ¤digung zuzusprechen ist.</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Zustellung gegen Empfangsschein an:</w:t>
      </w:r>
    </w:p>
    <w:p>
      <w:r>
        <w:t>- Rechtsanwalt Alex Wittmann</w:t>
      </w:r>
    </w:p>
    <w:p>
      <w:r>
        <w:t>- Sammelstiftung berufliche Vorsorge Swiss Life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