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BV.2009.00020 vom 5. Juli 2010</w:t>
      </w:r>
    </w:p>
    <w:p>
      <w:r>
        <w:t>ZH Sozialversicherungsgericht, 2010-07-05, DE</w:t>
      </w:r>
    </w:p>
    <w:p>
      <w:r>
        <w:rPr>
          <w:b/>
        </w:rPr>
        <w:t xml:space="preserve">Quelle: </w:t>
      </w:r>
      <w:r>
        <w:t>https://mcp.opencaselaw.ch/entscheid/zh_sozialversicherungsgericht_BV.2009.00020</w:t>
      </w:r>
    </w:p>
    <w:p>
      <w:r>
        <w:t>FR: ZH_SOZIALVERSICHERUNGSGERICHT BV.2009.00020 du 5 juillet 2010</w:t>
      </w:r>
    </w:p>
    <w:p>
      <w:r>
        <w:t>IT: ZH_SOZIALVERSICHERUNGSGERICHT BV.2009.00020 del 5 luglio 2010</w:t>
      </w:r>
    </w:p>
    <w:p>
      <w:pPr>
        <w:pStyle w:val="Heading2"/>
      </w:pPr>
      <w:r>
        <w:t>Erwägungen</w:t>
      </w:r>
    </w:p>
    <w:p>
      <w:r>
        <w:rPr>
          <w:b/>
        </w:rPr>
        <w:t>E. 1</w:t>
      </w:r>
    </w:p>
    <w:p>
      <w:r>
        <w:t>1.1Â Â Â Â  Am 1. April 2004 beziehungsweise am 1. Januar 2005 sind die Normen der 1. BVG-Revision (Ãnderung vom 3. Oktober 2003) in Kraft getreten. In zeitlicher Hinsicht sind grundsÃ¤tzlich diejenigen RechtssÃ¤tze massgebend, die bei ErfÃ¼llung des zu Rechtsfolgen fÃ¼hrenden Tatbestandes Geltung haben (BGE 126 V 136 Erw. 4b mit Hinweisen). In Anbetracht der beantragten Rentenausrichtung ab dem 1. Dezember 2003 ist die rechtliche Beurteilung der Klage anhand der bis 31. MÃ¤rz 2004 gÃ¼ltig gewesenen Rechtsvorschriften vorzunehmen, die nachfolgend auch in dieser Fassung zitiert werden.</w:t>
      </w:r>
    </w:p>
    <w:p>
      <w:r>
        <w:t>1.2Â Â Â Â  Als fÃ¼r die obligatorische Versicherung von Arbeitnehmern nach den Art. 2 und 7 ff. des Bundesgesetzes Ã¼ber die berufliche Alters-, Hinterlassenen- und Invalidenvorsorge (BVG) beachtliche Mindestvorschrift (Art. 6 BVG) begrÃ¼ndet Art. 23 BVG den Anspruch auf Invalidenleistungen von Personen, die im Sinne der Invalidenversicherung zu mindestens 50 % invalid sind und bei Eintritt der ArbeitsunfÃ¤higkeit, deren Ursache zur InvaliditÃ¤t gefÃ¼hrt hat, versichert waren.</w:t>
      </w:r>
    </w:p>
    <w:p>
      <w:r>
        <w:t>1.3Â Â Â Â  Nach Art. 24 Abs. 1 BVG hat der Versicherte Anspruch auf eine volle Invalidenrente, wenn er im Sinne der Invalidenversicherung mindestens zu zwei Dritteln, auf eine halbe Rente, wenn er mindestens zur HÃ¤lfte invalid ist.</w:t>
      </w:r>
    </w:p>
    <w:p>
      <w:r>
        <w:t>1.4Â Â 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271 Erw. 2a, 120 V 108 Erw. 3c, je mit Hinweisen).</w:t>
      </w:r>
    </w:p>
    <w:p>
      <w:r>
        <w:t>PraxisgemÃ¤ss sind daher die Vorsorgeeinrichtungen im Bereich der gesetzlichen Mindestvorsorge (Art. 6 BVG) an die Feststellungen der IV-Organe (Eintritt der invalidisierenden ArbeitsunfÃ¤higkeit, ErÃ¶ffnung der Wartezeit, Festsetzung des InvaliditÃ¤tsgrades) gebunden, soweit die IV-rechtliche Betrachtung aufgrund einer gesamthaften PrÃ¼fung der Akten nicht als offensichtlich unhaltbar erscheint (BGE 126 V 311 Erw. 1 in fine).</w:t>
      </w:r>
    </w:p>
    <w:p>
      <w:r>
        <w:t>1.5Â Â Â Â  GemÃ¤ss Art. 45 Abs. 1 des Vorsorgereglements richten sich Beginn und Grad der ErwerbsinvaliditÃ¤t, insoweit sie fÃ¼r die Bemessung der Leistungen der IV von Bedeutung sind, nach den Entscheiden der IV-Organe.</w:t>
      </w:r>
    </w:p>
    <w:p>
      <w:r>
        <w:rPr>
          <w:b/>
        </w:rPr>
        <w:t>E. 2</w:t>
      </w:r>
    </w:p>
    <w:p>
      <w:r>
        <w:t>2.1Â Â Â Â  Im Urteil vom 28. Juni 2010 in Sachen der KlÃ¤gerin gegen die IV-Stelle (Prozess-Nr. IV.2009.00189) hat das hiesige Gericht erwogen, dass die KlÃ¤gerin weder in somatischer noch psychiatrischer Hinsicht in der ArbeitsfÃ¤higkeit als Pflegeassistentin eingeschrÃ¤nkt ist, weshalb kein Anspruch auf eine Invalidenrente besteht.</w:t>
      </w:r>
    </w:p>
    <w:p>
      <w:r>
        <w:t>2.2Â Â Â Â  Ist die KlÃ¤gerin in der bisherigen TÃ¤tigkeit voll arbeitsfÃ¤hig, liegt keine InvaliditÃ¤t vor. Da der InvaliditÃ¤tsbegriff in der beruflichen Vorsorge derselbe ist wie in der Invalidenversicherung (vgl. Erw. 1.4 f.) und sich vorliegend keine Fragen stellen, die invalidenversicherungsrechtlich nicht, berufsvorsorgerechtlich jedoch von Bedeutung sind, sind auch von weitergehenden medizinischen AbklÃ¤rungen keine neuen Erkenntnisse zu erwarten. Damit entfÃ¤llt auch ein Anspruch auf eine Invalidenrente aus der beruflichen Vorsorge.</w:t>
      </w:r>
    </w:p>
    <w:p>
      <w:r>
        <w:rPr>
          <w:b/>
        </w:rPr>
        <w:t>E. 3</w:t>
      </w:r>
    </w:p>
    <w:p>
      <w:r>
        <w:t>3.1Â Â Â Â Â Â Â Â  Vorsorgeeinrichtungen kommt keine hoheitliche Gewalt zu. Sie haben daher nicht die Befugnis, Ã¼ber die Rechte und Pflichten von Versicherten VerfÃ¼gungen zu erlassen, die formell rechtskrÃ¤ftig werden kÃ¶nnen. Ihre Entscheide im Einzelfall sind lediglich "Stellungnahmen". Decken sich die Rechtsauffassungen der Vorsorgebeteiligten nicht, muss die interessierte Partei, hier die Vorsorgeeinrichtung, zur Durchsetzung ihres RÃ¼ckforderungsanspruchs beim kantonalen Vorsorgegericht Klage im Sinne von Art. 73 Abs. 1 BVG einreichen. Dies gilt fÃ¼r privatrechtliche und Ã¶ffentlichrechtliche Vorsorgeeinrichtungen gleichermassen (BGE 134 I 166 mit Hinweisen).</w:t>
      </w:r>
    </w:p>
    <w:p>
      <w:r>
        <w:t>3.2Â Â Â Â  Die Feststellungsklage ist bundesrechtlich zulÃ¤ssig, wenn die KlÃ¤gerin ein tatsÃ¤chliches oder rechtliches Interesse an der sofortigen Feststellung des Bestehens oder Nichtbestehens eines RechtsverhÃ¤ltnisses hat. Ein schutzwÃ¼rdiges Interesse an der Feststellungsklage besteht grundsÃ¤tzlich, wenn die Ungewissheit der Rechtsbeziehungen zwischen den Parteien durch die richterliche Feststellung behoben werden kann und die Fortdauer der Ungewissheit der klagenden Partei nicht zuzumuten ist. Es fehlt insbesondere, wenn eine Leistungs- oder Gestaltungsklage zur VerfÃ¼gung steht (BGE 123 III 49 E. 1b S. 51; 120 II 20 E. 3a S. 22 je mit Hinweisen; vgl. auch BGE 122 III 279).</w:t>
      </w:r>
    </w:p>
    <w:p>
      <w:r>
        <w:t>3.3Â Â Â Â  Mit Entscheid vom 6. Februar 2009 forderte die Pensionskasse Stadt ZÃ¼rich von der KlÃ¤gerin Fr. 74'410.70 zurÃ¼ck (Urk. 2/2). Da die Vorsorgeeinrichtungen im Rahmen von Art. 73 BVG praxisgemÃ¤ss keine Kompetenz zum Erlass einer VerfÃ¼gung haben, welche als Anfechtungsobjekt eines Rechtsmittels in Betracht fiele, ist fÃ¼r die allfÃ¤llige rechtliche Durchsetzung des RÃ¼ckerstattungsanspruches einzig die Beklagte aktivlegitimiert. Eine negative Feststellungsklage seitens der KlÃ¤gerin, mit dem Inhalt, dass sie der Beklagten nichts schuldet, scheidet mangels der hierfÃ¼r erforderlichen Voraussetzungen aus. BezÃ¼glich Aufhebung der RentenrÃ¼ckforderung ist daher auf die Klage nicht einzutreten.</w:t>
      </w:r>
    </w:p>
    <w:p>
      <w:r>
        <w:t>4.Â Â Â Â Â Â Â Â  Insoweit die KlÃ¤gerin die Umschulung auf eine neue TÃ¤tigkeit beantragt (Urk. 1 Ziffer 3 des Rechtsbegehrens), sehen weder das BVG noch das Vorsorgereglement der Pensionskasse einen solchen Anspruch vor, weshalb Ziffer 3 des Rechtsbegehrens abzuweisen ist.</w:t>
      </w:r>
    </w:p>
    <w:p>
      <w:r>
        <w:t>Das Gericht erkennt:</w:t>
      </w:r>
    </w:p>
    <w:p>
      <w:r>
        <w:t>1.Â Â Â Â Â Â Â Â  Die Klage wird abgewiesen, soweit auf sie eingetreten wird.</w:t>
      </w:r>
    </w:p>
    <w:p>
      <w:r>
        <w:t>2.Â Â Â Â Â Â Â Â  Das Verfahren ist kostenlos.</w:t>
      </w:r>
    </w:p>
    <w:p>
      <w:r>
        <w:t>3.Â Â Â Â Â Â Â Â Â Â  Zustellung gegen Empfangsschein an:</w:t>
      </w:r>
    </w:p>
    <w:p>
      <w:r>
        <w:t>- Gian A. Minghetti</w:t>
      </w:r>
    </w:p>
    <w:p>
      <w:r>
        <w:t>- Pensionskasse Stadt ZÃ¼rich</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