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BV.2009.00003 vom 8. November 2010</w:t>
      </w:r>
    </w:p>
    <w:p>
      <w:r>
        <w:t>ZH Sozialversicherungsgericht, 2010-11-08, DE</w:t>
      </w:r>
    </w:p>
    <w:p>
      <w:r>
        <w:rPr>
          <w:b/>
        </w:rPr>
        <w:t xml:space="preserve">Quelle: </w:t>
      </w:r>
      <w:r>
        <w:t>https://mcp.opencaselaw.ch/entscheid/zh_sozialversicherungsgericht_BV.2009.00003</w:t>
      </w:r>
    </w:p>
    <w:p>
      <w:r>
        <w:t>FR: ZH_SOZIALVERSICHERUNGSGERICHT BV.2009.00003 du 8 novembre 2010</w:t>
      </w:r>
    </w:p>
    <w:p>
      <w:r>
        <w:t>IT: ZH_SOZIALVERSICHERUNGSGERICHT BV.2009.00003 del 8 novembre 2010</w:t>
      </w:r>
    </w:p>
    <w:p>
      <w:pPr>
        <w:pStyle w:val="Heading2"/>
      </w:pPr>
      <w:r>
        <w:t>Erwägungen</w:t>
      </w:r>
    </w:p>
    <w:p>
      <w:r>
        <w:rPr>
          <w:b/>
        </w:rPr>
        <w:t>E. 2</w:t>
      </w:r>
    </w:p>
    <w:p>
      <w:r>
        <w:t>2.1Â Â Â Â Â Â Â Â  Zentraler Streitpunkt und fÃ¼r den Ausgang des vorliegenden Verfahrens entscheidend ist die Frage, ob der KlÃ¤ger Anspruch auf eine Invalidenrente fÃ¼r den unfallbedingten InvaliditÃ¤tsteil von 33 % hat.</w:t>
      </w:r>
    </w:p>
    <w:p>
      <w:r>
        <w:t>2.2Â Â Â Â  Der KlÃ¤ger begrÃ¼ndete seine Klage damit, dass Ziffer 3.2.1 des Reglements 1992 unklar und damit nach dem Vertrauensprinzip bzw. der Unklarheitsregel auszulegen sei (Urk. 1 S. 2). Dabei habe der Versicherungsnehmer das Wort ÂbegrenztÂ dahingehend verstehen dÃ¼rfen, dass - sofern ein Unfallversicherer leistungspflichtig sei - die Beklagte zwar Leistungen erbringe, diese aber betraglich auf das gesetzliche Minimum begrenzt wÃ¼rden. Damit sei von einem unfallbedingten Rentenanteil von 33 % der vollen BVG-Rente auszugehen (Urk. 1 S. 3). ErgÃ¤nzend fÃ¼hrte der KlÃ¤ger aus, die strittige Reglementsbestimmung diene nicht der Verhinderung einer ÃberentschÃ¤digung; solches sei durch Satz 2 von Ziffer 3.2.1 sichergestellt (Urk. 16 S. 1).</w:t>
      </w:r>
    </w:p>
    <w:p>
      <w:r>
        <w:t>2.3Â Â Â Â Â Â Â Â  DemgegenÃ¼ber brachte die Beklagte vor, die umstrittene Regelung - ob das bis zum 31. Dezember 1996 oder das ab 1. Januar 1997 gÃ¼ltige Reglement zur Anwendung gelange, sei unerheblich, da der Wortlaut in dieser Hinsicht identisch sei - kÃ¶nne in guten Treuen nicht anders als eine Reduktion auf die gesetzlichen Leistungen verstanden werden. Damit gelte bei Unfallursache statt des reglementarischen der gesetzliche MindestinvaliditÃ¤tsgrad von 50 % als Anspruchsvoraussetzung fÃ¼r Invalidenleistungen. Die Auslegung des KlÃ¤gers wÃ¼rde zu einer ÃberentschÃ¤digung fÃ¼hren, welche nicht dem mutmasslichen Willen der Parteien entsprechen kÃ¶nne. Zudem sei die Kumulation von Invalidenleistungen der Unfallversicherung und solchen aus weitergehender beruflichen Vorsorge nicht vom objektiven Vertragswillen gedeckt und nicht sachgerecht (Urk. 6 S. 4).</w:t>
      </w:r>
    </w:p>
    <w:p>
      <w:r>
        <w:rPr>
          <w:b/>
        </w:rPr>
        <w:t>E. 2.4</w:t>
      </w:r>
    </w:p>
    <w:p>
      <w:r>
        <w:t>2.4.1Â Â  FÃ¼r den Fall einer Ãnderung der gesetzlichen Grundlagen sind die RechtssÃ¤tze als anwendbar zu erklÃ¤ren, die bei der Verwirklichung des zu Rechtsfolgen fÃ¼hrenden Sachverhaltes in Geltung standen (BGE 130 V 329 Erw. 2.2, 2.3; BGE 122 V 219 Erw. 3c). In zeitlicher Hinsicht ist damit auf die im August 1997 (Ablauf Wartejahr; Eintritt des Versicherungsfalles, das heisst Eintritt des versicherten Risikos in der gesetzlich normierten Weise: BGE 134 V 28 Erw. 3.2) in Kraft gewesenen RechtssÃ¤tze und Reglementsbestimmungen abzustellen, wobei die Beklagte zu Recht darauf hinwies, dass die fÃ¼r die vorliegende Streitsache massgebenden Bestimmungen (Ziffer 3.2.1 des Reglements 1992, Urk. 7/1 S. 6; Ziffer 34.2 des ab 1. Januar 1997 gÃ¼ltigen Reglements, Urk. 7/3 S. 13) identisch sind. Im Folgenden werden demgemÃ¤ss einzig noch die Bestimmungen des ab 1. Januar 1997 gÃ¼ltigen Reglements (Urk. 7/3) zitiert.</w:t>
      </w:r>
    </w:p>
    <w:p>
      <w:r>
        <w:t>2.4.2Â Â  GemÃ¤ss Reglement gilt die InvaliditÃ¤t als eingetreten, sobald der InvaliditÃ¤tsgrad der versicherten Person mindestens einen Viertel erreicht hat (Ziffer 20.2), wobei sich der Grad der InvaliditÃ¤t aus der Erwerbseinbusse ermittelt (Ziffer 20.5). Liegt TeilinvaliditÃ¤t vor, so werden die Leistungen in folgendem Ausmass ausgerichtet: bei einem InvaliditÃ¤tsgrad von 2/3 und mehr besteht Anspruch auf die vollen Leistungen. Bei einem InvaliditÃ¤tsgrad von 1/4 und mehr, aber weniger als 2/3, werden die Leistungen entsprechend dem InvaliditÃ¤tsgrad festgesetzt (Ziffer 20.6; Urk. 7/3 S. 8-9).</w:t>
      </w:r>
    </w:p>
    <w:p>
      <w:r>
        <w:t>2.4.3Â Â  Ziffer 34 des Reglements, welche der Koordination mit der Unfall- und MilitÃ¤rversicherung dient, sieht vor, dass der Anspruch auf Invaliden- und Hinterlassenenleistungen unabhÃ¤ngig davon besteht, ob die InvaliditÃ¤t oder der Tod durch Krankheit oder Unfall verursacht wurde (Ziffer 34.1). GemÃ¤ss Ziffer 34.2 werden jedoch, ist ein Unfallversicherer gemÃ¤ss Unfallversicherungsgesetz oder die MilitÃ¤rversicherung gemÃ¤ss MilitÃ¤rversicherungsgesetz leistungspflichtig, die aus diesem Reglement fÃ¤lligen Witwen-, Waisen-, Invaliden- und Invalidenkinderrenten auf das gesetzliche Minimum begrenzt (identisch: Ziffer 3.2.1 des Reglements 1992). Ferner besteht auf diese Renten nur soweit Anspruch, als die Leistungen aus der beruflichen Vorsorge zusammen mit den anderen anrechenbaren Leistungen gemÃ¤ss Ziffer 35.2 90 % des mutmasslich entgangenen Verdienstes nicht Ã¼bersteigen. Auf Witwenrenten besteht in diesem Fall kein Anspruch.</w:t>
      </w:r>
    </w:p>
    <w:p>
      <w:r>
        <w:t>Â Â Â Â Â Â Â Â  Bei Zusammentreffen von Unfall und Krankheit gelten die Regelungen gemÃ¤ss Ziffer 34.2-34.3 nur fÃ¼r den Teil, der auf den Unfall zurÃ¼ckzufÃ¼hren ist (Urk. 7/3 S. 13).</w:t>
      </w:r>
    </w:p>
    <w:p>
      <w:r>
        <w:t>2.5Â Â Â Â</w:t>
      </w:r>
    </w:p>
    <w:p>
      <w:r>
        <w:t>2.5.1Â Â Â Â Â Â Â Â  GestÃ¼tzt auf ihr Reglement, welches unabhÃ¤ngig von der Ursache einen Anspruch auf Invalidenleistungen statuiert (Erw. 2.4.3), richtet die Beklagte dem KlÃ¤ger seit August 1998 eine Invalidenrente fÃ¼r den krankheitsbedingten Anteil von 10 % aus der Ã¼berobligatorischen beruflichen Vorsorge aus (Urk. 2/3), womit sich dieser ausdrÃ¼cklich einverstanden erklÃ¤rte (Urk. 1 S. 2). Den sich aus dem von der Invalidenversicherung ermittelten InvaliditÃ¤tsgrad von 43 % ergebenden Rentenanspruch begrenzte die Beklagte in der Folge - was den unfallbedingten Anteil von 33 % betrifft - auf das gesetzliche Minimum und kam zum Schluss, die gesetzlich festgelegte MindestinvaliditÃ¤t von 50 % (Erw. 1.1) sei nicht erreicht, weshalb fÃ¼r diesen Teil keine Leistung geschuldet sei.</w:t>
      </w:r>
    </w:p>
    <w:p>
      <w:r>
        <w:t>2.5.2Â Â  Die Ausrichtung einer Invalidenrente war gemÃ¤ss damals gÃ¼ltigem Gesetzestext erst ab einem InvaliditÃ¤tsgrad von 50 % vorgesehen (Erw. 1.1). Selbst wenn die Argumentation des KlÃ¤gers, die im Reglement umschriebene Reduktion auf das gesetzliche Minimum erfasse nur die betragliche HÃ¶he einer geschuldeten Rente (Erw. 2.1), allein gestÃ¼tzt auf den Wortlaut noch mÃ¶glich erschiene, so kann ihr unter Zugrundelegung der Auslegung nach dem Vertrauensprinzip (Erw. 1.4) nicht gefolgt werden. Die ursprÃ¼ngliche Bestimmung von Art. 25 Abs. 1 der Verordnung Ã¼ber die berufliche Alters-, Hinterlassenen- und Invalidenvorsorge (BVV 2) sah vor, dass die Vorsorgeeinrichtungen keine Leistungen schuldeten, wenn die Unfall- oder die MilitÃ¤rversicherung fÃ¼r den gleichen Versicherungsfall leistungspflichtig wÃ¤ren. Diese Verordnungsbestimmung wurde aber von der hÃ¶chstrichterlichen Rechtsprechung (BGE 116 V 189) als gesetzeswidrig erklÃ¤rt. Hingegen steht es den Vorsorgeeinrichtungen gemÃ¤ss Rechtsprechung offen, ihre Leistungspflicht auf die obligatorischen Mindestleistungen nach BVG zu beschrÃ¤nken, wenn der Tod oder die InvaliditÃ¤t der versicherten Person einen Leistungsanspruch gegenÃ¼ber der Unfall- oder MilitÃ¤rversicherung begrÃ¼ndet (vgl. Urteil des Bundesgerichts vom 24. Mai 2000 i.S. S., B 12/98, Erw. 3; Marc HÃ¼rzeler, in: Kommentar zum BVG und FZG, Schneider/Geiser/GÃ¤chter (Hrsg)., Bern 2010, N 33 zu Art. 34a BVG). Ebenso ist es den Vorsorgeeinrichtungen gestattet, ihre weitergehenden Leistungen anteilsmÃ¤ssig zu erbringen, wenn die Unfall- bzw. die MilitÃ¤rversicherung ihre vollen Leistungen deshalb nicht erbringt, weil der Tod oder die InvaliditÃ¤t nicht ausschliesslich auf eine deren Leistungspflicht begrÃ¼ndende Ursache zurÃ¼ckzufÃ¼hren sind (vgl. HÃ¼rzeler, a.a.O., mit weiteren Hinweisen). Der Beschwerdegegnerin stand es folglich frei, im Bereich der weitergehenden Vorsorge bei einer Leistungspflicht des Unfallversicherers ihre Zahlungen ganz auszuschliessen, sofern dabei der Anspruch auf Leistungen aus obligatorischer Vorsorge nicht tangiert wÃ¼rde. Mit Blick auf die dazu ergangene Rechtsprechung, das im Reglement ausdrÃ¼cklich statuierte ÃberentschÃ¤digungsverbot (Erw. 2.4.3) sowie angesichts des Umstandes, dass in der Regel ein Unfallausschluss Ã¼berobligatorischer Invalidenleistungen zu keiner Leistungseinbusse fÃ¼hrt, da nebst der Invalidenversicherung auch noch die Unfallversicherung Leistungen erbringt und damit meist eine LeistungshÃ¶he von 90 % des entgangenen Verdienstes erreicht wird (vgl. Hans-Ulrich Stauffer, Berufliche Vorsorge, 75 Versicherungsfragen und LeistungsfÃ¤lle, ZÃ¼rich 2008, S. 61), durfte und musste der KlÃ¤ger die strittige Formulierung dahingehend verstehen, als dass bei einer Leistungspflicht des Unfallversicherers Ã¼berobligatorische Leistungen aus beruflicher Vorsorge ausgeschlossen sind. Diese LÃ¶sung ist denn auch sachgerecht, behÃ¤lt doch das Reglement neben der Reduktion auf das gesetzliche Minimum eine KÃ¼rzung infolge ÃberentschÃ¤digung ausdrÃ¼cklich vor (Erw. 2.4.3). Die Ausrichtung einer Ã¼berobligatorischen Invalidenrente bedeutete damit in den meisten FÃ¤llen aufgrund einer ohnehin nachfolgenden KÃ¼rzung wegen ÃberentschÃ¤digung einen administrativ unnÃ¶tigen Aufwand. Dass die Vertragsparteien eine solche LÃ¶sung hÃ¤tten vorsehen wollen, erscheint auch aus dieser Sicht nicht wahrscheinlich.</w:t>
      </w:r>
    </w:p>
    <w:p>
      <w:r>
        <w:t>Â Â Â Â Â Â Â Â</w:t>
      </w:r>
    </w:p>
    <w:p>
      <w:r>
        <w:t>Â Â Â Â Â Â Â Â  Zusammengefasst ergibt die Auslegung der strittigen Reglementsbestimmung, dass die Beklagte bei einer Leistungspflicht des Unfallversicherers einzig die Mindestleistungen nach BVG schuldet, worunter zweifellos auch der InvaliditÃ¤tsgrad als Anspruchsvoraussetzung zu zÃ¤hlen ist.</w:t>
      </w:r>
    </w:p>
    <w:p>
      <w:r>
        <w:t>2.5.3Â Â  Ist der MindestinvaliditÃ¤tsgrad von 50 % nicht erreicht, so schuldet die Beklagte fÃ¼r den unfallbedingten Anteil der InvaliditÃ¤t des KlÃ¤gers im Umfang von 33 % keine Invalidenleistungen.</w:t>
      </w:r>
    </w:p>
    <w:p>
      <w:r>
        <w:t>3.Â Â Â Â Â Â  Diese ErwÃ¤gungen fÃ¼hren zur vollumfÃ¤nglichen Abweisung der Klage.</w:t>
      </w:r>
    </w:p>
    <w:p>
      <w:r>
        <w:t>Das Gericht erkennt:</w:t>
      </w:r>
    </w:p>
    <w:p>
      <w:r>
        <w:t>1.Â Â Â Â Â Â Â Â  Die Klage wird abgewiesen.</w:t>
      </w:r>
    </w:p>
    <w:p>
      <w:r>
        <w:t>2.Â Â Â Â Â Â Â Â  Das Verfahren ist kostenlos.</w:t>
      </w:r>
    </w:p>
    <w:p>
      <w:r>
        <w:t>3.Â Â Â Â Â Â Â Â Â Â  Zustellung gegen Empfangsschein an:</w:t>
      </w:r>
    </w:p>
    <w:p>
      <w:r>
        <w:t>- Georg Biedermann</w:t>
      </w:r>
    </w:p>
    <w:p>
      <w:r>
        <w:t>- AXA Stiftung Berufliche Vorsorge, Winterthur</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