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BV.2008.00109 vom 16. August 2010</w:t>
      </w:r>
    </w:p>
    <w:p>
      <w:r>
        <w:t>ZH Sozialversicherungsgericht, 2010-08-16, DE</w:t>
      </w:r>
    </w:p>
    <w:p>
      <w:r>
        <w:rPr>
          <w:b/>
        </w:rPr>
        <w:t xml:space="preserve">Quelle: </w:t>
      </w:r>
      <w:r>
        <w:t>https://mcp.opencaselaw.ch/entscheid/zh_sozialversicherungsgericht_BV.2008.00109</w:t>
      </w:r>
    </w:p>
    <w:p>
      <w:r>
        <w:t>FR: ZH_SOZIALVERSICHERUNGSGERICHT BV.2008.00109 du 16 août 2010</w:t>
      </w:r>
    </w:p>
    <w:p>
      <w:r>
        <w:t>IT: ZH_SOZIALVERSICHERUNGSGERICHT BV.2008.00109 del 16 agosto 2010</w:t>
      </w:r>
    </w:p>
    <w:p>
      <w:pPr>
        <w:pStyle w:val="Heading2"/>
      </w:pPr>
      <w:r>
        <w:t>Erwägungen</w:t>
      </w:r>
    </w:p>
    <w:p>
      <w:r>
        <w:rPr>
          <w:b/>
        </w:rPr>
        <w:t>E. 1</w:t>
      </w:r>
    </w:p>
    <w:p>
      <w:r>
        <w:t>1.1Â Â Â Â  Als fÃ¼r die obligatorische Versicherung von Arbeitnehmern nach den Art. 2 und 7 ff. des Bundesgesetzes Ã¼ber die berufliche Alters-, Hinterlassenen- und Invalidenvorsorge (BVG) beachtliche Mindestvorschrift (Art. 6 BVG) begrÃ¼ndet Art. 23 lit. a BVG in der ab 1. Januar 2005 geltenden Fassung den Anspruch auf Invalidenleistungen von Personen, die im Sinne der Invalidenversicherung zu mindestens 40 % invalid sind und bei Eintritt der ArbeitsunfÃ¤higkeit, deren Ursache zur InvaliditÃ¤t gefÃ¼hrt hat, versichert waren. Die obligatorische Versicherung beginnt gemÃ¤ss Art. 10 Abs. 1 BVG mit dem Antritt des ArbeitsverhÃ¤ltnisses und endet laut Abs. 2 der genannten Bestimmung unter anderem mit dessen AuflÃ¶sung. FÃ¼r die Risiken Tod und InvaliditÃ¤t bleibt der Arbeitnehmer wÃ¤hrend eines Monats nach AuflÃ¶sung des VorsorgeverhÃ¤ltnisses bei der bisherigen Vorsorgeeinrichtung versichert. Wird vorher ein neues VorsorgeverhÃ¤ltnis begrÃ¼ndet, so ist die neue Vorsorgeeinrichtung zustÃ¤ndig (Art. 10 Abs. 3 BVG).</w:t>
      </w:r>
    </w:p>
    <w:p>
      <w:r>
        <w:t>1.2Â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[Rz] 258 mit Hinweisen). Nach der Rechtsprechung muss eine Einbusse an LeistungsvermÃ¶gen arbeitsrechtlich in Erscheinung treten,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Dabei ist gegebenenfalls ZurÃ¼ckhaltung geboten, da ansonsten die Gefahr bestÃ¼nde, den Versicherungsschutz zu vereiteln. Indessen gilt hier ebenfalls, dass die Leistungseinbusse auch und vor allem dem Arbeitgeber aufgefallen sein muss (Urteil des Bundesgerichts in Sachen S. vom 19. MÃ¤rz 2010, 9C_847/2009, Erw. 2.1 mit weiteren Hinweisen).</w:t>
      </w:r>
    </w:p>
    <w:p>
      <w:r>
        <w:t>1.3Â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 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 (intern: aus TB BV016)</w:t>
      </w:r>
    </w:p>
    <w:p>
      <w:r>
        <w:t>Â Â Â Â Â Â Â Â  HÃ¤lt sich die Vorsorgeeinrichtung demgegenÃ¼ber im Rahmen des invalidenversicherungsrechtlich VerfÃ¼gten kommt die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diese entgegenhalten lassen, soweit diese fÃ¼r die Festlegung des Anspruchs auf eine Invalidenrente entscheidend war (BGE 130 V 270 Erw. 3.1 mit weiteren Hinweisen).</w:t>
      </w:r>
    </w:p>
    <w:p>
      <w:r>
        <w:rPr>
          <w:b/>
        </w:rPr>
        <w:t>E. 2</w:t>
      </w:r>
    </w:p>
    <w:p>
      <w:r>
        <w:t>2.1Â Â Â Â  Indem sich die Beklagte auf den Standpunkt stellt, dass die ArbeitsunfÃ¤higkeit, welche zur InvaliditÃ¤t fÃ¼hrte, nicht vor dem 1. Januar 2006 eingetreten und nicht sie, sondern die Auffangeinrichtung, bei welcher der KlÃ¤ger ab 1. Januar 2006 versichert war, leistungspflichtig sei (vgl. Urk. 12 S. 8 f.), stÃ¼tzt sie sich letztlich auf die Festlegungen im invalidenversicherungsrechtlichen Verfahren.</w:t>
      </w:r>
    </w:p>
    <w:p>
      <w:r>
        <w:t>Â Â Â Â Â Â Â Â  Das Versicherungsgericht des Kantons Aargau bestÃ¤tigte mit Entscheid vom 21. Mai 2008 die RentenverfÃ¼gung der IV-Stelle des Kantons Aargau und hielt in Bezug auf den einzig umstrittenen Beginn des Wartejahres zusammenfassend fest, weder aus den Unterlagen der Arbeitgeberin (Fragebogen und KÃ¼ndigungsschreiben) noch aus den ins Recht gelegten Ã¤rztlichen Zeugnissen von Dr. med. A.___ vom 19. August 2007 und von Dr. med. B.___ vom 18. September 2007 ergÃ¤ben sich Hinweise auf eine ArbeitsunfÃ¤higkeit zwischen Oktober und Dezember 2005. Zudem habe auch der (damalige) BeschwerdefÃ¼hrer selber im Rahmen der invalidenversicherungsrechtlichen AbklÃ¤rungen nie eine ArbeitsunfÃ¤higkeit bereits ab Oktober 2005 geltend gemacht. Damit sei mit der IV-Stelle von einem Beginn der ArbeitsunfÃ¤higkeit nach Beendigung der ArbeitstÃ¤tigkeit bei der Y.___ Versicherung somit ab 1. Januar 2006 auszugehen (Urk. 19 Dokument 55 Erw. 3). An diesen rechtskrÃ¤ftigen Entscheid der Versicherungsgerichts des Kantons Aargau ist das hiesige Gericht gebunden. Selbst wenn zutreffen sollte, dass der KlÃ¤ger schon lÃ¤ngere Zeit vor dem 1. Januar 2006 krankheitsbedingt nicht mehr voll leistungsfÃ¤hig war, wie er im vorliegenden Verfahren erneut geltend macht (vgl. Urk. 1 S. 6 und Urk. 22 S. 3 f.), gilt der rechtskrÃ¤ftige Entscheid des Versicherungsgerichts des Kantons Aargau.</w:t>
      </w:r>
    </w:p>
    <w:p>
      <w:r>
        <w:t>2.2Â Â Â Â  Die Auffangeinrichtung hat im Schreiben vom 11. Juli 2008 (Urk. 2/12) festgehalten, der KlÃ¤ger habe im Januar 2006 Arbeitslosengeld bezogen und sei damit bei ihr vorsorgeversichert gewesen. Sie hat damit ihre Leistungspflicht nicht nur vorlÃ¤ufig, wie der KlÃ¤ger geltend macht (vgl. Urk. 1 S. 8), sondern grundsÃ¤tzlich anerkannt, vorbehÃ¤ltlich vÃ¶llig anderer Ergebnisse hinsichtlich des Eintritts der invalidisierenden ArbeitsunfÃ¤higkeit im Rahmen des invalidenversicherungsrechtlichen Beschwerdeverfahrens beim Versicherungsgericht des Kantons Aargau. Da dieses den Entscheid der IV-Stelle bestÃ¤tigt hat, bleibt es bei der ZustÃ¤ndigkeit der Auffangeinrichtung fÃ¼r die Rente aus beruflicher Vorsorge. Dies fÃ¼hrt zur Abweisung der Klage.</w:t>
      </w:r>
    </w:p>
    <w:p>
      <w:r>
        <w:t>3.Â Â Â Â Â Â  Die zur unentgeltlichen Rechtsvertreterin bestellte RechtsanwÃ¤ltin Anita Hug machte mit Kostennote vom 28. Juni 2010 (Urk. 30) bei einem Aufwand von 20.10 Stunden und Auslagen von Fr. 400.-- (davon allein fÃ¼r Kopien Fr. 345.--) eine EntschÃ¤digung von Fr. 4'771.-- geltend. Dieser Aufwand erscheint entschieden zu hoch. RechtsanwÃ¤ltin Hug vertrat den KlÃ¤ger bereits im invalidenversicherungsrechtlichen Beschwerdeverfahren vor dem Versicherungsgericht des Kantons Aargau. In jenem wie im vorliegenden Verfahren war Kernthema der Beginn des Wartejahres. Im vorliegenden Verfahren behauptete sie ungeachtet der bereits erfolgten gerichtlichen Beurteilung mit derselben Argumentation eine relevante ArbeitsunfÃ¤higkeit des KlÃ¤gers wÃ¤hrend der Versicherungszeit bei der Beklagten (vgl. etwa Urk. 22 S. 6). Da ihre AusfÃ¼hrungen angesichts der bereits erfolgten gerichtlichen Beurteilung in weiten Teilen entbehrlich waren, erscheint eine ermessensweise festgesetzte EntschÃ¤digung ihrer BemÃ¼hungen von Fr. 2'000.-- (inkl. Barauslagen und MWSt) angemessen.</w:t>
      </w:r>
    </w:p>
    <w:p>
      <w:r>
        <w:t>Das Gericht erkennt:</w:t>
      </w:r>
    </w:p>
    <w:p>
      <w:r>
        <w:t>1.Â Â Â Â Â Â Â Â  Die Klage wird abgewiesen.</w:t>
      </w:r>
    </w:p>
    <w:p>
      <w:r>
        <w:t>2.Â Â Â Â Â Â Â Â  Das Verfahren ist kostenlos.</w:t>
      </w:r>
    </w:p>
    <w:p>
      <w:r>
        <w:t>3.Â Â Â Â Â Â Â Â  Die unentgeltliche Rechtsvertreterin des KlÃ¤gers, RechtsanwÃ¤ltin Anita Hug, Baden, wird mit Fr. 2'000.-- (inkl. Barauslagen und MWSt) aus der Gerichtskasse entschÃ¤digt. Der KlÃ¤ger wird auf Â§ 92 ZPO hingewiesen.</w:t>
      </w:r>
    </w:p>
    <w:p>
      <w:r>
        <w:t>4.Â Â Â Â Â Â Â Â Â Â  Zustellung gegen Empfangsschein an:</w:t>
      </w:r>
    </w:p>
    <w:p>
      <w:r>
        <w:t>- RechtsanwÃ¤ltin Anita Hug</w:t>
      </w:r>
    </w:p>
    <w:p>
      <w:r>
        <w:t>- Rechtsanwalt Hans-Peter StÃ¤ger</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