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BV.2008.00104 vom 9. Dezember 2009</w:t>
      </w:r>
    </w:p>
    <w:p>
      <w:r>
        <w:t>ZH Sozialversicherungsgericht, 2009-12-09, DE</w:t>
      </w:r>
    </w:p>
    <w:p>
      <w:r>
        <w:rPr>
          <w:b/>
        </w:rPr>
        <w:t xml:space="preserve">Quelle: </w:t>
      </w:r>
      <w:r>
        <w:t>https://mcp.opencaselaw.ch/entscheid/zh_sozialversicherungsgericht_BV.2008.00104</w:t>
      </w:r>
    </w:p>
    <w:p>
      <w:r>
        <w:t>FR: ZH_SOZIALVERSICHERUNGSGERICHT BV.2008.00104 du 9 décembre 2009</w:t>
      </w:r>
    </w:p>
    <w:p>
      <w:r>
        <w:t>IT: ZH_SOZIALVERSICHERUNGSGERICHT BV.2008.00104 del 9 dicembre 2009</w:t>
      </w:r>
    </w:p>
    <w:p>
      <w:pPr>
        <w:pStyle w:val="Heading2"/>
      </w:pPr>
      <w:r>
        <w:t>Erwägungen</w:t>
      </w:r>
    </w:p>
    <w:p>
      <w:r>
        <w:rPr>
          <w:b/>
        </w:rPr>
        <w:t>E. 3</w:t>
      </w:r>
    </w:p>
    <w:p>
      <w:r>
        <w:t>3.1Â Â Â Â  Zu Recht nicht bestritten ist, dass die in Art. 14.4 vorgesehene dreimonatige Frist zur Gesuchseinreichung fÃ¼r eine Lebenspartnerrente gewahrt ist. Obgleich nach altem Reglement noch keine Anmeldung erforderlich war, gab Y.___ am 21. Januar 2004 seiner Vorsorgeeinrichtung bekannt, er lebe seit Anfang 1999 mit seiner Lebenspartnerin X.___ zusammen (Urk. 2/18). Im Leistungsausweis vom 19. Juli 2005 bestÃ¤tigte die Beklagte dann, der Antrag auf Lebenspartnerrente sei bei ihr deponiert (Urk. 2/4b). Stellte schliesslich der Willensvollstrecker am 3. April und die KlÃ¤gerin am 4. Juni 2007 ein Gesuch um Ausrichtung einer Lebenspartnerrente, so ist die Frist von drei Monaten (Tod am 24. MÃ¤rz 2007) gewahrt.</w:t>
      </w:r>
    </w:p>
    <w:p>
      <w:r>
        <w:t>3.2Â Â Â Â Â Â Â Â  DemgegenÃ¼ber gelangen die Parteien zu einer diametral gegensÃ¤tzlichen Anwendung des geltendenden Reglementes. WÃ¤hrenddem die Beklagte gestÃ¼tzt auf den blossen Wortlaut jeden Anspruch auf eine Rente verneint (Erw. 1.2), erhebt die KlÃ¤gerin in Auslegung des Reglementes Anspruch auf eine ÂHinterlassenenrenteÂ (Erw. 1.1).</w:t>
      </w:r>
    </w:p>
    <w:p>
      <w:r>
        <w:t>Â Â Â Â Â Â Â Â</w:t>
      </w:r>
    </w:p>
    <w:p>
      <w:r>
        <w:t>Â Â Â Â Â Â Â Â  Entgegen der Ansicht der Beklagten (Urk. 15 S. 3) erfÃ¤hrt der vorliegende Fall - Heirat der Partner nach mehreren Jahren Zusammenlebens im gleichen Haushalt - durch das Reglement keine explizite Regelung. Mithin ist das Reglement nach dem Vertrauensprinzip (Erw. 2.3.2) auszulegen.</w:t>
      </w:r>
    </w:p>
    <w:p>
      <w:r>
        <w:t>3.3Â Â Â Â  Mit der Beklagten ist darauf abzustellen, dass die Voraussetzungen fÃ¼r eine Ehegattenrente nach Art. 13 nicht erfÃ¼llt sind, wovon selbst die KlÃ¤gerin auszugehen scheint (Urk. 12 S. 2). Die Ehegattenrente richtet sich einzig und allein nach dem zivilrechtlichen Status der Ansprecher. Mit Blick darauf, dass die Ehegattenrente Teil der obligatorischen beruflichen Vorsorge bildet (Art. 19 BVG), ohne dass das Obligatorium auch den Anspruch auf eine Lebenspartnerrente statuierte, verbietet sich die Anrechnung allfÃ¤lligen vorehelichen Zusammenlebens. Erfolgte eine entsprechende BerÃ¼cksichtigung, so fÃ¼hrte dies auch im obligatorischen Bereich zu einer Ausweitung der Leistungen. Bleibt die BegÃ¼nstigung von Lebenspartnern ausdrÃ¼cklich dem Ã¼berobligatorischen Bereich Ã¼berlassen, so hat eine Leistungsausweitung unter Anrechnung von vorehelichem Konkubinat zu unterbleiben.</w:t>
      </w:r>
    </w:p>
    <w:p>
      <w:r>
        <w:t>Â Â Â Â Â Â Â Â  Zu Recht hat damit die Beklagte einen Anspruch auf Ehegattenrente verneint.</w:t>
      </w:r>
    </w:p>
    <w:p>
      <w:r>
        <w:t>3.4Â Â Â Â</w:t>
      </w:r>
    </w:p>
    <w:p>
      <w:r>
        <w:t>3.4.1Â Â  Nicht gefolgt werden kann demgegenÃ¼ber den AusfÃ¼hrungen der Beklagten in Bezug auf eine Lebenspartnerrente. Zwar trifft zu, dass Art. 14.1 den Anspruch auf eine Lebenspartnerrente davon abhÃ¤ngig macht, dass die versicherte Person nicht verheiratet war (Erw. 2.3.3). Entgegen der Ansicht der Beklagten kann diese Formulierung aber verschiedene Sachverhalte umfassen: Zum einen kÃ¶nnte der Terminus ÂunverheiratetÂ rein im Sinne des zivilrechtlichen Status verstanden werden - so die Auffassung der Beklagten. Zum anderen kÃ¶nnte die Bezeichnung ÂunverheiratetÂ ebenso gut auch dahingehend verstanden werden, als dass sie auf die Beziehung der Parteien abzielte und eine ausserhalb der Lebenspartnerschaft bestehende Ehe ausschliessen wollte. Damit ist der Wortlaut der reglementarischen Anspruchsvoraussetzung fÃ¼r eine Lebenspartnerrente (Art. 14.1) nicht eindeutig klar, weshalb der Text unter BerÃ¼cksichtigung des Reglementes als Ganzes und nach seinem Sinn und Zweck auszulegen ist (Erw. 2.3.2).</w:t>
      </w:r>
    </w:p>
    <w:p>
      <w:r>
        <w:t>3.4.2Â Â Â Â Â Â Â Â  Angesichts der aktuellen gesellschaftlichen VerÃ¤nderungen war Sinn und Zweck der EinfÃ¼hrung einer Lebenspartnerrente die Verbesserung der Vorsorge von nicht verheirateten Lebenspartnern im Ã¼berobligatorischen Bereich (BBl 2000 2683 Ziff. 2.9.6.1) und damit eine (weitgehende) Gleichstellung mit Ehepartnern (vgl. Stauffer, Rz 705). Wenngleich der Leistungsanspruch aus obligatorischer Vorsorge (Art. 19 BVG) zwingend ist und nicht wegbedungen werden kann, schliesst dies nicht aus, dass eine Vorsorgeeinrichtung zugleich Hinterlassenenleistungen nach BVG (Art. 19 und 20) als auch Leistungen nach Art. 20a BVG ausrichtet (vgl. Bundesamt fÃ¼r Sozialversicherungen [BSV], Mitteilungen Ã¼ber die berufliche Vorsorge, 27. Januar 2005, Nr. 79, Rz 472, S. 7). Zur Vermeidung der Kollision von AnsprÃ¼chen aus einer noch bestehenden Ehe eines der Lebenspartner kann daher alternativ die BegÃ¼nstigungsmÃ¶glichkeit des Lebenspartners in einer nicht ehelichen Lebensgemeinschaft durch einen noch verheirateten Lebenspartner vollstÃ¤ndig ausgeschlossen werden (ErlÃ¤uternder Bericht zur Vernehmlassungsvorlage Ã¼ber die erste BVG-Revision, Bern, August 1998, S. 83). Es ist der Vorsorgeeinrichtung jedoch verwehrt, fÃ¼r den Ã¼berlebenden Partner Leistungen vorzusehen, die aufgrund gÃ¼nstigerer Bedingungen berechnet werden, als sie fÃ¼r die Berechnung der Leistungen fÃ¼r den Ã¼berlebenden Ehegatten gelten (BSV, Mitteilungen vom 5. MÃ¤rz 2008, Nr. 104, Rz 625, S. 2).</w:t>
      </w:r>
    </w:p>
    <w:p>
      <w:r>
        <w:t>3.4.3Â Â  Dass kein Anspruch auf Lebenspartnerrente besteht, sofern der hinterbliebene Partner bereits eine Ehegatten- oder Lebenspartnerrente bezieht, ist in Art. 14.3 des Reglementes ausdrÃ¼cklich geregelt (Erw. 2.3.5). Damit entfiele ein Anspruch auf Lebenspartnerrente ohnehin, sofern die KlÃ¤gerin die Anspruchsvoraussetzungen fÃ¼r eine Ehepaarrente nach Art. 13 erfÃ¼llte. Insofern ist dieser KollisionsmÃ¶glichkeit ein Riegel geschoben. Was nun die versicherte Person selber betrifft, so kann die Vorschrift, diese dÃ¼rfe nicht verheiratet gewesen sein, mit Blick auf die Entstehungsgeschichte der Lebenspartnerrente und allfÃ¤llige DoppelansprÃ¼che (vgl. Erw. 3.4.2) nur dahingehend verstanden werden, als ein Verheiratetsein eine weitere, vom Lebenspartner verschiedene Person betrÃ¤fe. Dass der Terminus ÂunverheiratetÂ auch eine allfÃ¤llige Heirat mit dem Lebenspartner umfasste, ist in Bezug auf eine mÃ¶gliche Kollision nicht anzunehmen, ist doch - wie bereits festgestellt - diese Problematik in Art. 14.3 einer expliziten LÃ¶sung zugefÃ¼hrt.</w:t>
      </w:r>
    </w:p>
    <w:p>
      <w:r>
        <w:t>Â Â Â Â Â Â Â Â  Der Verweis in Art. 14.3 (Erw. 2.3.5) auf diverse Bestimmungen der Ehegattenrente unterstreicht schliesslich den Sinn und Zweck, die Vorsorge von Konkubinatspartnern zu verbessern und an die VerhÃ¤ltnisse von Ehepaaren anzupassen. Eine Auslegung im Sinne der Beklagten kÃ¤me demgegenÃ¼ber einer BegÃ¼nstigung von nicht verheirateten Partnern gleich: Ein wÃ¤hrend fÃ¼nf Jahren in ungetrenntem, nichtehelichen Haushalt lebender Partner kÃ¤me in den Genuss einer Lebenspartnerrente, wÃ¤hrenddem die KlÃ¤gerin, nur weil sie sich nach gut fÃ¼nf Jahren Konkubinats zur Heirat entschloss, dieses Anspruches verlustig ginge. Eine solche BegÃ¼nstigung von nichtehelichen Lebensgemeinschaften ist nicht vorgesehen (vgl. Erw. 3.4.3), fÃ¼hrte zu einer Schlechterstellung von Ehepartnern und wÃ¼rde damit Sinn und Zweck der mittels BVG-Revision eingefÃ¼hrten BegÃ¼nstigungsmÃ¶glichkeit (Art. 20a BVG) verfehlen sowie die Vorschrift in ihr Gegenteil verkehren.</w:t>
      </w:r>
    </w:p>
    <w:p>
      <w:r>
        <w:t>3.4.4Â Â  Endlich bedeutete es eine faktische BeeintrÃ¤chtigung der Freiheit der Eheschliessung und damit eine Verletzung der Ehe- und Familienfreiheit, wenn die KlÃ¤gerin - unter der Voraussetzung, dass im Zeitpunkt des Todes von Y.___ ein Anspruch auf Lebenspartnerrente bestand - wÃ¤hrend dreier Jahre nach der Heirat schlechter gestellt wÃ¤re, als wenn sie sich fÃ¼r die WeiterfÃ¼hrung des Konkubinates entschieden hÃ¤tte. In grundrechtskonformer Auslegung (vgl. Bernhard Ehrenzeller et. al., Die schweizerische Bundesverfassung, Kommentar, 2. Auflage, ZÃ¼rich 2008, N 36 zu Art. 35) der Reglementsbestimmung ist daher auch aus dieser Sicht ein Anspruch auf eine Rente zu bejahen, sofern die Ã¼brigen Voraussetzungen einer Lebenspartnerrente erfÃ¼llt sind.</w:t>
      </w:r>
    </w:p>
    <w:p>
      <w:r>
        <w:t>3.4.5Â Â Â Â Â Â Â Â  Zusammenfassend fÃ¼hrt die Auslegung von Art. 14.1 Reglement 2007 zum Ergebnis, dass die KlÃ¤gerin Anspruch auf eine Lebenspartnerrente hat, welche infolge Verweis auf die Ehegattenrente dieser in Bezug auf die HÃ¶he entspricht (Erw. 2.3.5), sofern im Zeitpunkt des Todes ihres Partners und Ehegatten die Anspruchsvoraussetzungen - insbesondere ein ununterbrochenes Zusammenleben im gemeinsamen Haushalt - gegeben waren.</w:t>
      </w:r>
    </w:p>
    <w:p>
      <w:r>
        <w:t>3.5Â Â Â Â</w:t>
      </w:r>
    </w:p>
    <w:p>
      <w:r>
        <w:t>3.5.1Â Â  Mithin bleibt zu klÃ¤ren, ob ein wÃ¤hrend mindestens fÃ¼nf Jahren ununterbrochenes Zusammenleben der KlÃ¤gerin mit dem Verstorbenen ausgewiesen ist.</w:t>
      </w:r>
    </w:p>
    <w:p>
      <w:r>
        <w:t>3.5.2Â Â Â Â Â Â Â Â  Wenngleich die aufliegenden WohnsitzbestÃ¤tigungen einen gemeinsamen Haushalt vor Oktober 2004 nicht zu belegen vermÃ¶gen - der Verstorbene verlegte seinen Wohnsitz am 1. Oktober 2004 nach E.___ (Urk. 2/12, 14), wÃ¤hrenddem die KlÃ¤gerin seit ihrem Zuzug am 1. Januar 1995 Wohnsitz in E.___ hatte (Urk. 2/13b, 14) -, ist es der KlÃ¤gerin unbenommen, ein Zusammenleben auf andere Art nachzuweisen. Dabei fÃ¤llt namentlich ins Gewicht, dass Y.___ bereits mit Schreiben vom 21. Januar 2004 die Beklagte davon in Kenntnis setzte, er lebe seit dem Jahre 1999 mit seiner Lebenspartnerin zusammen. Weil X.___ ihre Wohnung in E.___ behalten und als Atelier nÃ¼tzen wolle, die Genossenschaftswohnung aber nur weiterhin mieten kÃ¶nne, sofern sie in E.___ auch angemeldet sei, seien sie beide in verschiedenen Gemeinden angemeldet, hÃ¤tten aber dennoch gemeinsamen Wohnsitz in C.___ (Urk. 2/18).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w:t>
      </w:r>
    </w:p>
    <w:p>
      <w:r>
        <w:t>3.5.3Â Â  Im Weiteren hat die KlÃ¤gerin Unterschriften von Freunden und Bekannten auflegen lassen, welche bezeugen, dass die KlÃ¤gerin und der Verstorbene ab dem Jahre 2000 gemeinsam eine Mietwohnung bewohnten (Urk. 2/9b). Zudem bestÃ¤tigte ein an der F.___-strasse in E.___ wohnhaftes Ehepaar, die KlÃ¤gerin und der Verstorbene hÃ¤tten als ÃbergangslÃ¶sung vom Sommer 2004 bis zum Oktober 2005 die Wohnung der KlÃ¤gerin in E.___ gemeinsam bewohnt, nachdem sie ab dem Jahre 2000 zusammen in C.___ gelebt hÃ¤tten (Urk. 2/11).</w:t>
      </w:r>
    </w:p>
    <w:p>
      <w:r>
        <w:t>3.5.4Â Â  In WÃ¼rdigung der aufliegenden Beweise ist damit davon auszugehen, dass die KlÃ¤gerin und der Verstorbene seit dem Jahre 2000 ununterbrochen in demselben Haushalt wohnten, womit die Voraussetzungen fÃ¼r eine Lebenspartnerrente gemÃ¤ss Art. 14.1 erfÃ¼llt sind.</w:t>
      </w:r>
    </w:p>
    <w:p>
      <w:r>
        <w:t>3.6Â Â Â Â  GemÃ¤ss Art. 14.3 in Verbindung mit Art. 13.4 betrÃ¤gt die Lebenspartner- beziehungsweise die Ehegattenrente beim Tod eines Altersrentners 60 % der laufenden Altersrente (Urk. 2/21 S. 9).</w:t>
      </w:r>
    </w:p>
    <w:p>
      <w:r>
        <w:t>Â Â Â Â Â Â Â Â  Die Altersrente von Y.___ betrug Fr. 6'442.-- monatlich (Urk. 2/4a) beziehungsweise Fr. 77'304.-- pro Jahr (Urk. 2/25). DemgemÃ¤ss hat die KlÃ¤gerin mit Wirkung ab 1. April 2007 Anspruch auf eine Rente von Fr. 3'865.20 im Monat oder Fr. 46'382.40 pro Jahr.</w:t>
      </w:r>
    </w:p>
    <w:p>
      <w:r>
        <w:t>Â Â Â Â Â Â Â Â  Mit dem Anspruch auf Lebenspartnerrente entfÃ¤llt sowohl der Anspruch auf eine einmalige Abfindung in HÃ¶he des dreifachen Jahresbetrages der Ehegattenrente (Art. 13.3, Urk. 2/21 S. 9) als auch jener auf Todesfallkapital (Art. 16.1, Urk. 2/21 S. 10).</w:t>
      </w:r>
    </w:p>
    <w:p>
      <w:r>
        <w:t>4.Â Â Â Â Â Â  Damit ist die Klage vollumfÃ¤nglich gutzuheissen.</w:t>
      </w:r>
    </w:p>
    <w:p>
      <w:r>
        <w:t>5.Â Â Â Â Â Â  Eine Minderheit des Gerichts hat ihre abweichende Meinung zum Verfahrensausgang zu Protokoll gegeben (vgl. Prot. S. 5 in Verbindung mit Urk. 19).</w:t>
      </w:r>
    </w:p>
    <w:p>
      <w:r>
        <w:t>6.Â Â Â Â Â Â</w:t>
      </w:r>
    </w:p>
    <w:p>
      <w:r>
        <w:t>6.1Â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w:t>
      </w:r>
    </w:p>
    <w:p>
      <w:r>
        <w:t>6.2Â Â Â Â Â Â Â Â  Rechtsanwalt Neiger machte mit Honorarnote vom 29. April 2009 einen Aufwand von 24 Stunden und 30 Minuten zu einem Stundenansatz von Fr. 280.-- und Auslagen von Fr. 211.75 und damit insgesamt Fr. 7'609.25 (inkl. MWSt) geltend (Urk. 18). Mit Blick auf die Tatsache, dass das vorliegende Verfahren von der Untersuchungs- und Offizialmaxime geprÃ¤gt ist, rechtfertigt es sich nicht, wie vom Rechtsvertreter der KlÃ¤gerin beantragt (Urk. 17), einen hÃ¶heren als den gerichtsÃ¼blichen Stundenansatz von Fr. 200.-- bei der Berechnung der ParteientschÃ¤digung anzuwenden, weshalb Rechtsanwalt Neiger mit Fr. 5'500.-- (inkl. MWSt und Barauslagen) zu entschÃ¤digen ist.</w:t>
      </w:r>
    </w:p>
    <w:p>
      <w:r>
        <w:t>Das Gericht erkennt:</w:t>
      </w:r>
    </w:p>
    <w:p>
      <w:r>
        <w:t>1.Â Â Â Â Â Â Â Â  In Gutheissung der Klage wird die Beklagte verpflichtet, der KlÃ¤gerin mit Wirkung ab 1. April 2007 eine jÃ¤hrliche Rente von Fr. 46'382.40 abzÃ¼glich der bereits geleisteten Abfindung sowie des ausbezahlten Todesfallkapitals zu entrichten.</w:t>
      </w:r>
    </w:p>
    <w:p>
      <w:r>
        <w:t>2.Â Â Â Â Â Â Â Â  Das Verfahren ist kostenlos.</w:t>
      </w:r>
    </w:p>
    <w:p>
      <w:r>
        <w:t>3.Â Â Â Â Â Â Â Â  Die Beklagte wird verpflichtet, der KlÃ¤gerin eine ProzessentschÃ¤digung von Fr. 5'500.-- (inkl. Barauslagen und MWSt) zu bezahlen.</w:t>
      </w:r>
    </w:p>
    <w:p>
      <w:r>
        <w:t>4.Â Â Â Â Â Â Â Â Â Â  Zustellung gegen Empfangsschein an:</w:t>
      </w:r>
    </w:p>
    <w:p>
      <w:r>
        <w:t>- Rechtsanwalt Armin Neiger unter Beilage einer Kopie von Urk. 19</w:t>
      </w:r>
    </w:p>
    <w:p>
      <w:r>
        <w:t>- Rechtsanwalt Balz Meierhans unter Beilage je einer Kopie von Urk. 17, 18/1-3 und Urk. 19</w:t>
      </w:r>
    </w:p>
    <w:p>
      <w:r>
        <w:t>- Bundesamt fÃ¼r Sozialversicherungen unter Beilage einer Kopie von Urk. 19</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