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BV.2008.00087 vom 30. April 2012</w:t>
      </w:r>
    </w:p>
    <w:p>
      <w:r>
        <w:t>ZH Sozialversicherungsgericht, 2012-04-30, DE</w:t>
      </w:r>
    </w:p>
    <w:p>
      <w:r>
        <w:rPr>
          <w:b/>
        </w:rPr>
        <w:t xml:space="preserve">Quelle: </w:t>
      </w:r>
      <w:r>
        <w:t>https://mcp.opencaselaw.ch/entscheid/zh_sozialversicherungsgericht_BV.2008.00087</w:t>
      </w:r>
    </w:p>
    <w:p>
      <w:r>
        <w:t>FR: ZH_SOZIALVERSICHERUNGSGERICHT BV.2008.00087 du 30 avril 2012</w:t>
      </w:r>
    </w:p>
    <w:p>
      <w:r>
        <w:t>IT: ZH_SOZIALVERSICHERUNGSGERICHT BV.2008.00087 del 30 aprile 2012</w:t>
      </w:r>
    </w:p>
    <w:p>
      <w:pPr>
        <w:pStyle w:val="Heading2"/>
      </w:pPr>
      <w:r>
        <w:t>Erwägungen</w:t>
      </w:r>
    </w:p>
    <w:p>
      <w:r>
        <w:rPr>
          <w:b/>
        </w:rPr>
        <w:t>E. 2</w:t>
      </w:r>
    </w:p>
    <w:p>
      <w:r>
        <w:t>2.1Â Â Â Â  Das Gericht holte mit VerfÃ¼gung vom 6. Oktober 2008 (Urk. 4) bei den von der Scheidungsrichterin genannten Vorsorgeeinrichtungen per Datum der Rechtskraft der Scheidung (20. September 2008) aktualisierte Abrechnungen Ã¼ber die zu teilenden Austrittsleistungen des Beklagten 1 sowie eine BestÃ¤tigung Ã¼ber die DurchfÃ¼hrbarkeit der Teilung ein und fragte bei der CPV/CAP Coop Personalversicherung (im Folgenden: Coop Personalversicherung) an, ob die KlÃ¤gerin bei ihr Ã¼ber Austrittsleistungen verfÃ¼ge, und wenn ja, wie hoch diese im Zeitpunkt der Rechtskraft der Scheidung waren. Ferner wurde den Scheidungsparteien Gelegenheit gegeben, die im Zeitpunkt der Eheschliessung angesparten Vorsorgegelder zu bezeichnen, unter Hinweis, dass im SÃ¤umnisfall davon ausgegangen werde, dass am 30. D.___ 1988 noch keine Vorsorgegelder angespart waren.</w:t>
      </w:r>
    </w:p>
    <w:p>
      <w:r>
        <w:t>2.2Â Â Â Â  Die Rendita FreizÃ¼gigkeitsstiftung (im Folgenden: Rendita) bestÃ¤tigte am 9. Oktober 2008 die DurchfÃ¼hrbarkeit der Teilung (Urk. 6). Mit Eingabe vom 8. Oktober 2008 teilte die Coop Personalversicherung mit, dass die KlÃ¤gerin per 31. Mai 1996 aus der Versicherung ausgetreten sei und das FreizÃ¼gigkeitskapital von Fr. 600.-- an die FreizÃ¼gigkeitsstiftung der Bank Coop (im Folgenden: Bank Coop) Ã¼berwiesen worden sei (Urk. 7). Mit Eingabe vom 9. Oktober 2008 ergÃ¤nzte sie ihre Mitteilung dahingehend, als die KlÃ¤gerin am 1. Juli 2005 wieder in die Coop Personalversicherung eingetreten sei und Ã¼ber ein Altersguthaben von Fr. 1'505.-- per 30. September 2008 verfÃ¼ge (Urk. 8). Die FreizÃ¼gigkeitsstiftung der Migrosbank (im Folgenden: Migrosbank) bezifferte die Austrittsleistung des Beklagten 1 per 20. September 2008 mit Fr. 7'696.25 (Schreiben vom 13. Oktober 2008, Urk. 9). Die Sammelstiftung berufliche Vorsorge Swiss Life (im Folgenden: Swiss Life) Ã¼bermittelte eine Austrittsleistung des Beklagten 1 von Fr. 518.90 per 31. MÃ¤rz 1997 (Eingabe vom 13. Oktober 2008, Urk. 14), und die Sammelstiftung BVG der Allianz Suisse (im Folgenden: Allianz Suisse) Ã¼bermittelte mit Brief vom 27. Oktober 2008 eine solche von Fr. 8'125.15 per 31. August 2002 (Urk. 13).</w:t>
      </w:r>
    </w:p>
    <w:p>
      <w:r>
        <w:t>2.3Â Â Â Â  Mit VerfÃ¼gung vom 19. November 2008 forderte das Gericht die Rendita, die Allianz Suisse, die Swiss Life und die Bank Coop auf, je eine per 20. September 2008 aktualisierte Abrechnung Ã¼ber die zu teilende FreizÃ¼gigkeitsleistung der Scheidungsparteien einzureichen (Urk. 15). Am 21. November 2008 bezifferte die Bank Coop das FreizÃ¼gigkeitsguthaben der KlÃ¤gerin per 20. September 2008 mit Fr. 690.75 (Urk. 17). Die Swiss Life meldete am 1. Dezember 2008 eine Austrittsleistung des Beklagten 1 per 20. September 2008 von Fr. 753.70 (Urk. 18). Die Rendita gab die FreizÃ¼gigkeitsleistung des Beklagten 1 per 20. September 2008 mit Fr. 9'099.45 an (Urk. 19/2). Mit Eingabe vom 15. Januar 2009 meldete die Allianz Suisse eine FreizÃ¼gigkeitsleistung des Beklagten 1 per 20. September 2008 von Fr. 11'288.15 (Urk. 21). Mit VerfÃ¼gung vom 20. Januar 2009 schliesslich wurde der KlÃ¤gerin und dem Beklagten 1 Gelegenheit gegeben, zu den Meldungen der Vorsorgeeinrichtungen Stellung zu nehmen und AntrÃ¤ge Ã¼ber die vorzunehmende Teilung zu stellen, wovon beide innert Frist nicht Gebrauch machten (Urk. 23).</w:t>
      </w:r>
    </w:p>
    <w:p>
      <w:r>
        <w:t>2.4Â Â Â Â  Mit Beschluss vom 31. MÃ¤rz 2009 wurde der Prozess bis zur rechtskrÃ¤ftigen Erledigung des bei der Sozialversicherungsanstalt des Kantons ZÃ¼rich, IV-Stelle, hÃ¤ngigen Verfahrens in Sachen des Beklagten 1 betreffend Invalidenleistungen sistiert (Urk. 26). Die IV-Stelle sprach dem Beklagten 1 mit rechtskrÃ¤ftiger VerfÃ¼gung vom 25. Januar 2012 mit Wirkung ab 1. MÃ¤rz 2009 eine halbe Invalidenrente zu (Urk. 35).</w:t>
      </w:r>
    </w:p>
    <w:p>
      <w:r>
        <w:t>Das Gericht zieht in ErwÃ¤gung:</w:t>
      </w:r>
    </w:p>
    <w:p>
      <w:r>
        <w:t>1.</w:t>
      </w:r>
    </w:p>
    <w:p>
      <w:r>
        <w:t>1.1Â Â Â Â  Am 1. Januar 2011 ist die Schweizerische Zivilprozessordnung (ZPO) in Kraft getreten. Parallel dazu sind Art. 135 bis 149 des Schweizerischen Zivilgesetzbuches (ZGB) aufgehoben worden. Laut Art. 404 Abs. 1 ZPO gilt fÃ¼r Verfahren, die bei Inkrafttreten dieses Gesetzes rechtshÃ¤ngig sind, das bisherige Verfahrensrecht bis zum Abschluss vor der betroffenen Instanz.</w:t>
      </w:r>
    </w:p>
    <w:p>
      <w:r>
        <w:t>1.2Â Â Â Â  Das Scheidungsverfahren war bei Inkrafttreten der ZPO durch das C.___ nach den Vorschriften der Zivilprozessordnung des Kantons ZÃ¼rich bereits rechtskrÃ¤ftig erledigt. Aus diesem Grund ist fÃ¼r die vorliegende Teilung der Austrittsleistungen durch das hiesige Gericht Art. 141 f. ZGB in der bis 31. Dezember 2010 gÃ¼ltig gewesenen Fassung anwendbar.</w:t>
      </w:r>
    </w:p>
    <w:p>
      <w:r>
        <w:t>2.Â Â Â Â Â Â</w:t>
      </w:r>
    </w:p>
    <w:p>
      <w:r>
        <w:t>2.1Â Â Â Â  GehÃ¶rt ein Ehegatte oder gehÃ¶ren beide Ehegatten einer Einrichtung der beruflichen Vorsorge an und ist bei keinem Ehegatten ein Vorsorgefall eingetreten, so hat bei einer Scheidung nach der Regelung des Art. 122 Abs. 1 des Zivilgesetzbuches (ZGB) jeder Ehegatte Anspruch auf die HÃ¤lfte der nach dem Bundesgesetz Ã¼ber die FreizÃ¼gigkeit in der beruflichen Alters-, Hinterlassenen- und Invalidenvorsorge (FZG) fÃ¼r die Ehedauer zu ermittelnden Austrittsleistung des anderen Ehegatten.</w:t>
      </w:r>
    </w:p>
    <w:p>
      <w:r>
        <w:t>Â Â Â Â Â Â Â Â  Haben sich die Ehegatten Ã¼ber die Teilung der Austrittsleistung sowie die Art der DurchfÃ¼hrung der Teilung geeinigt und legen sie eine BestÃ¤tigung der beteiligten Einrichtungen der beruflichen Vorsorge Ã¼ber die DurchfÃ¼hrbarkeit der getroffenen Regelung und die HÃ¶he der Guthaben vor, die fÃ¼r die Berechnung der zu teilenden Austrittsleistungen massgebend sind, so wird die Vereinbarung mit der Genehmigung durch das Gericht auch fÃ¼r die Einrichtungen der beruflichen Vorsorge verbindlich (Art. 141 Abs. 1 ZGB).</w:t>
      </w:r>
    </w:p>
    <w:p>
      <w:r>
        <w:t>Â Â Â Â Â Â Â Â  Kommt dagegen keine Vereinbarung zustande, entscheidet das Gericht nach Art. 142 Abs. 1 ZGB Ã¼ber das VerhÃ¤ltnis, in welchem die Austrittsleistungen zu teilen sind. Sobald der Entscheid Ã¼ber das TeilungsverhÃ¤ltnis rechtskrÃ¤ftig ist, Ã¼berweist das Gericht die Streitsache von Amtes wegen dem nach FZG zustÃ¤ndigen Gericht (Art. 142 Abs. 2 ZGB). Mitgeteilt werden nach Art. 142 Abs. 3 ZGB dabei insbesondere der Entscheid Ã¼ber das TeilungsverhÃ¤ltnis, das Datum der Eheschliessung und das Datum der Ehescheidung, die Einrichtungen der beruflichen Vorsorge, bei denen den Ehegatten voraussichtlich Guthaben zustehen, und die HÃ¶he der Guthaben der Ehegatten, die diese Einrichtungen gemeldet haben.</w:t>
      </w:r>
    </w:p>
    <w:p>
      <w:r>
        <w:t>2.2Â Â Â Â Â Â Â Â  Entsprechend der Regelung des ZGB sieht Art. 22 Abs. 1 FZG vor, dass bei Ehescheidung die fÃ¼r die Ehedauer zu ermittelnden Austrittsleistungen nach den Art. 122, 123, 141 und 142 ZGB geteilt werden und dass die Art. 3 bis 5 FZG auf den zu Ã¼bertragenden Betrag sinngemÃ¤ss anwendbar sind. Die zu teilende Austrittsleistung eines Ehegatten entspricht nach Art. 22 Abs. 2 FZG dabei der Differenz zwischen der Austrittsleistung zuzÃ¼glich allfÃ¤lliger FreizÃ¼gigkeitsguthaben im Zeitpunkt der Ehescheidung und der Austrittsleistung zuzÃ¼glich allfÃ¤lliger FreizÃ¼gigkeitsguthaben im Zeitpunkt der Eheschliessung. FÃ¼r die Berechnung sind die Austrittsleistung und das FreizÃ¼gigkeitsguthaben im Zeitpunkt der Eheschliessung auf den Zeitpunkt der Ehescheidung aufzuzinsen.</w:t>
      </w:r>
    </w:p>
    <w:p>
      <w:r>
        <w:t>2.3Â Â Â Â Â Â Â Â  Massgeblicher Zeitraum fÃ¼r die Teilung der Austrittsleistung ist nach der gesetzlichen Definition die Ehedauer. Damit legt das Gesetz die Eckwerte fest. Die Ehe beginnt mit dem Tag der Eheschliessung und endet mit der AuflÃ¶sung durch das Scheidungsurteil. Dabei ist fÃ¼r den Zeitpunkt der Scheidung nicht das Urteilsdatum, sondern der Eintritt der formellen Rechtskraft des Scheidungsurteils massgebend (BGE 132 V 239 Erw. 2.3).</w:t>
      </w:r>
    </w:p>
    <w:p>
      <w:r>
        <w:rPr>
          <w:b/>
        </w:rPr>
        <w:t>E. 3</w:t>
      </w:r>
    </w:p>
    <w:p>
      <w:r>
        <w:t>3.1Â Â Â Â  Die Einzelrichterin am C.___ meldete mit VerfÃ¼gung vom 27. E.___ 2008 (Urk. 1) folgende Eckdaten fÃ¼r die Teilung der Austrittsleistungen: Eheschluss: 30. D.___ 1988; Rechtskraft der Scheidung: 20. September 2008; TeilungsverhÃ¤ltnis: 1/2 - 1/2; Vorsorgeeinrichtungen Beklagter 1: Migrosbank, Swiss Life, Allianz Suisse und Rendita. Entgegen der Feststellung im Urteil vom 27. E.___ 2008 verfÃ¼gt auch die KlÃ¤gerin Ã¼ber Guthaben bei Vorsorgeeinrichtungen, nÃ¤mlich bei der Coop Personalversicherung und der Bank Coop (vgl. Urk. 8 und Urk. 17).</w:t>
      </w:r>
    </w:p>
    <w:p>
      <w:r>
        <w:t>3.2Â Â Â Â  Der Beklagte 1 bezieht mit Wirkung ab 1. D.___ 2009 eine Rente der Eidg. Invalidenversicherung (vgl. Urk. 35). Da der Rentenbeginn nach der rechtskrÃ¤ftigen Scheidung liegt, steht der Teilung der Vorsorgeguthaben per Datum der Rechtskraft der Scheidung nichts im Weg.</w:t>
      </w:r>
    </w:p>
    <w:p>
      <w:r>
        <w:t>4.Â Â Â Â Â Â  Die Scheidungsparteien stellten im vorliegenden Verfahren keine AntrÃ¤ge und liessen sich unter Hinweis, dass bei Stillschweigen von der Richtigkeit und VollstÃ¤ndigkeit der eingereichten Abrechnungen ausgegangen werde (vgl. Urk. 23), nicht vernehmen. Da sich aus den Akten keine Hinweise auf Unstimmigkeiten ergeben, ist von der Richtigkeit und VollstÃ¤ndigkeit der Angaben der Vorsorgeeinrichtungen auszugehen.</w:t>
      </w:r>
    </w:p>
    <w:p>
      <w:r>
        <w:rPr>
          <w:b/>
        </w:rPr>
        <w:t>E. 5</w:t>
      </w:r>
    </w:p>
    <w:p>
      <w:r>
        <w:t>5.1Â Â Â Â  Damit verfÃ¼gte der Beklagte 1 im Zeitpunkt der Rechtskraft der Scheidung (20. September 2008) Ã¼ber Guthaben bei der Migrosbank von Fr. 7'696.25 (Urk. 9), bei der Swiss Life von Fr. 753.70 (Urk. 18), bei der Rendita von Fr. 9'099.45 (Urk. 19/2) und bei der Allianz Suisse von Fr. 11'288.15 (Urk. 22), mithin Ã¼ber Guthaben von insgesamt Fr. 28'837.55, wovon die KlÃ¤gerin Anspruch hat auf Fr. 14'418.75 (Fr. 28'837.55 : 2). Die KlÃ¤gerin ihrerseits verfÃ¼gte Ã¼ber Guthaben bei der Coop Personalversicherung von Fr. 1'505.-- am 30. September 2008 (Urk. 8), was mit einem Zinssatz von 2,75 % (Art. 12 lit. e BVV 2) zurÃ¼ckvalutiert auf den 20. September 2008 ein Guthaben von Fr. 1'503.90 ergibt. Bei der Bank Coop verfÃ¼gte sie Ã¼ber ein Guthaben von Fr. 690.75 (Urk. 17). Insgesamt ergibt dies ein Guthaben von Fr. 2'194.65, wovon der Beklagte 1 Anspruch hat auf Fr. 1'097.30 (Fr. 2'194.65 : 2). Die Differenz der Summen betrÃ¤gt Fr. 13'321.45 (Fr. 14'418.75 - Fr. 1'097.30) zu Gunsten der KlÃ¤gerin.</w:t>
      </w:r>
    </w:p>
    <w:p>
      <w:r>
        <w:t>5.2Â Â Â Â  Die Migrosbank ist folglich zu verpflichten, Fr. 7'600.-- zulasten des Beklagten 1 auf das Vorsorgekonto der KlÃ¤gerin bei der Coop Personalversicherung zu Ã¼berweisen.</w:t>
      </w:r>
    </w:p>
    <w:p>
      <w:r>
        <w:t>Â Â Â Â Â Â Â Â  Die Rendita ist zu verpflichten, Fr. 5'721.45 zulasten des Beklagten 1 auf das Vorsorgekonto der KlÃ¤gerin bei der Coop Personalversicherung zu Ã¼berweisen.</w:t>
      </w:r>
    </w:p>
    <w:p>
      <w:r>
        <w:t>5.3Â Â 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Erw. 2.3) - an bis zum Zeitpunkt der Ãberweisung oder des Beginns der Verzugszinspflicht zu verzinsen. Dabei hat die Vorsorgeeinrichtung fÃ¼r den Bereich des Obligatoriums auf der Austrittsleistung den Mindestzinssatz von Art. 12 BVV 2 (lit. d: 2,5 % fÃ¼r den Zeitraum ab 1. Januar 2005 bis zum 31. Dezember 2007; lit. e: 2,75 % fÃ¼r den Zeitraum ab 1. Januar bis 31. Dezember 2008; lit. f: 2 % fÃ¼r den Zeitraum ab 1. Januar 2009 bis 31. Dezember 2011; lit. g: 1,5 % fÃ¼r den Zeitraum ab 1. Januar 2012)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FZV bei der Teilung der Austrittsleistung infolge Scheidung ebenfalls auf den im entsprechenden Zeitraum gÃ¼ltigen Zinssatz nach Art. 12 BVV 2 greift (BGE 129 V 257 Erw. 4.1).</w:t>
      </w:r>
    </w:p>
    <w:p>
      <w:r>
        <w:t>Â Â Â Â Â Â Â Â  Art. 2 Abs. 4 FZG (in der seit 1. Januar 2005 geltenden Fassung)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Erw. 4.2.3). Der Verzugszinssatz entspricht gemÃ¤ss Art. 26 Abs. 2 FZG in Verbindung mit Art. 7 FZV dem BVG-Mindestsatz (Art. 12 BVV 2) plus ein Prozent. Art. 65d Abs. 4 BVG ist nicht anwendbar (vgl. Urteil des Bundesgerichts B 17/06 vom 6. Juni 2006).</w:t>
      </w:r>
    </w:p>
    <w:p>
      <w:r>
        <w:t>Â Â Â Â Â Â Â Â  Aus den vorangehenden ErwÃ¤gungen folgt, dass die Migrosbank und die Rendita auf den der KlÃ¤gerin jeweils geschuldeten Austrittsleistungen ab 20. September 2008 einen Zins in reglementarischer oder gesetzlicher (Mindest-)HÃ¶he (von 1. Januar bis 31. Dezember 2008: 2,75 %; von 1. Januar 2009 bis 31. Dezember 2011: 2 %; ab 1. Januar 2012: 1,5 %) bis zum Zeitpunkt der Ãberweisung zu entrichten haben. Ab dem 31. Tag nach Vorlage aller fÃ¼r die Ãberweisung der Austrittsleistung erforderlichen Angaben wÃ¤re ein Verzugszins von 2,5 % (vgl. Art. 7 FZV in Verbindung mit Art. 12 lit. g BVV 2) zu bezahlen.</w:t>
      </w:r>
    </w:p>
    <w:p>
      <w:r>
        <w:t>Das Gericht beschliesst:</w:t>
      </w:r>
    </w:p>
    <w:p>
      <w:r>
        <w:t>Â Â Â Â Â Â Â Â Â Â Â Â Â Â  Die mit Beschluss vom 31. MÃ¤rz 2009 angeordnete Sistierung des Prozesses wird aufgehoben,</w:t>
      </w:r>
    </w:p>
    <w:p>
      <w:r>
        <w:t>und erkennt:</w:t>
      </w:r>
    </w:p>
    <w:p>
      <w:r>
        <w:t>1.Â Â Â Â Â Â Â Â  a) Die FreizÃ¼gigkeitsstiftung Migrosbank wird verpflichtet, Fr. 7'600.-- zulasten des Beklagten 1 (FreizÃ¼gigkeitskonto Nr. ___ lautend auf den Beklagten 1) auf das Vorsorgekonto der KlÃ¤gerin bei der Coop Personalversicherung (AHV-Nr. ___ /Vers.-Nr. ___) zu Ã¼berweisen, wobei der genannte Betrag ab 20. September 2008 im Sinne der ErwÃ¤gungen zu verzinsen ist.</w:t>
      </w:r>
    </w:p>
    <w:p>
      <w:r>
        <w:t>Â Â Â Â Â Â Â Â Â Â  b) Die Rendita FreizÃ¼gigkeitsstiftung wird verpflichtet, Fr. 5'721.45 zulasten des Beklagten 1 (FreizÃ¼gigkeitskonto Nr. ___ lautend auf den Beklagten 1) auf das Vorsorgekonto der KlÃ¤gerin bei der Coop Personalversicherung (AHV-Nr. ___ /Vers.-Nr. ___) zu Ã¼berweisen, wobei der genannte Betrag ab 20. September 2008 im Sinne der ErwÃ¤gungen zu verzinsen ist.</w:t>
      </w:r>
    </w:p>
    <w:p>
      <w:r>
        <w:t>2.Â Â Â Â Â Â Â Â  Das Verfahren ist kostenlos.</w:t>
      </w:r>
    </w:p>
    <w:p>
      <w:r>
        <w:t>3.Â Â Â Â Â Â Â Â Â Â  Zustellung gegen Empfangsschein an:</w:t>
      </w:r>
    </w:p>
    <w:p>
      <w:r>
        <w:t>- A.___</w:t>
      </w:r>
    </w:p>
    <w:p>
      <w:r>
        <w:t>- B.___</w:t>
      </w:r>
    </w:p>
    <w:p>
      <w:r>
        <w:t>- FreizÃ¼gigkeitsstiftung der Migrosbank</w:t>
      </w:r>
    </w:p>
    <w:p>
      <w:r>
        <w:t>- Sammelstiftung berufliche Vorsorge Swiss Life</w:t>
      </w:r>
    </w:p>
    <w:p>
      <w:r>
        <w:t>- Sammelstiftung BVG der Allianz Suisse Lebensversicherungs-Gesellschaft</w:t>
      </w:r>
    </w:p>
    <w:p>
      <w:r>
        <w:t>- Rendita FreizÃ¼gigkeitsstiftung</w:t>
      </w:r>
    </w:p>
    <w:p>
      <w:r>
        <w:t>- CPV/CAP Coop Personalversicherung</w:t>
      </w:r>
    </w:p>
    <w:p>
      <w:r>
        <w:t>- FreizÃ¼gigkeitsstiftung 2. SÃ¤ule Bank Coop AG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