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BV.2008.00040 vom 15. Oktober 2009</w:t>
      </w:r>
    </w:p>
    <w:p>
      <w:r>
        <w:t>ZH Sozialversicherungsgericht, 2009-10-15, DE</w:t>
      </w:r>
    </w:p>
    <w:p>
      <w:r>
        <w:rPr>
          <w:b/>
        </w:rPr>
        <w:t xml:space="preserve">Quelle: </w:t>
      </w:r>
      <w:r>
        <w:t>https://mcp.opencaselaw.ch/entscheid/zh_sozialversicherungsgericht_BV.2008.00040</w:t>
      </w:r>
    </w:p>
    <w:p>
      <w:r>
        <w:t>FR: ZH_SOZIALVERSICHERUNGSGERICHT BV.2008.00040 du 15 octobre 2009</w:t>
      </w:r>
    </w:p>
    <w:p>
      <w:r>
        <w:t>IT: ZH_SOZIALVERSICHERUNGSGERICHT BV.2008.00040 del 15 ottobre 2009</w:t>
      </w:r>
    </w:p>
    <w:p>
      <w:pPr>
        <w:pStyle w:val="Heading2"/>
      </w:pPr>
      <w:r>
        <w:t>Erwägungen</w:t>
      </w:r>
    </w:p>
    <w:p>
      <w:r>
        <w:rPr>
          <w:b/>
        </w:rPr>
        <w:t>E. 3</w:t>
      </w:r>
    </w:p>
    <w:p>
      <w:r>
        <w:t>3.1Â Â Â Â  Die Rechte und Pflichten der Versicherten richten sich in erster Linie nach den reglementarischen Bestimmungen der Vorsorgeeinrichtungen, wobei diese dem Gesetz (Art. 49 BVG) und den rechtsstaatlichen Minimalanforderungen - WillkÃ¼rverbot, VerhÃ¤ltnismÃ¤ssigkeit, Treu und Glauben sowie Rechtsgleichheit, vorab in der Form der Gleichbehandlung der DestinatÃ¤re - entsprechen mÃ¼ssen (BGE 132 V 154 E. 5.2.4 mit weiteren Hinweisen). Vorliegend stellt der KlÃ¤ger die Gleichbehandlung der wÃ¤hrend des Jahres 2008 pensionierten mit den bis zum Jahresende aktiven Versicherten in Frage.</w:t>
      </w:r>
    </w:p>
    <w:p>
      <w:r>
        <w:t>3.2Â Â Â Â  Der KlÃ¤ger geht davon aus, die Zusatzverzinsung von je 2 % fÃ¼r die LohnerhÃ¶hung und die Leistungsverbesserung stehe den im Laufe des Jahres 2008 pensionierten Versicherten in vollem Umfang zu. Wie die Beklagte in ihrer Klageantwort richtig darstellt, hat der Stiftungsrat mit der Ãbergangsregelung in Art. 56 Vorsorgereglement bewusst einen Ausnahmetatbestand zur allgemeinen Regel der Verzinsung pro rata temporis im Pensionierungsfall geschaffen. Wenn die Beklagte daraus ableitet, dass die verbleibenden 7 % des Gesamtzinses von 9.5 % pro rata temporis zu gewÃ¤hren sind (vgl. Urk. 5 S. 4), so ist nicht ersichtlich, inwiefern dies die Gleichbehandlung der Versicherten verletzen sollte. Vielmehr ist dadurch gewÃ¤hrleistet, dass jeder Versicherte an der aus den freien Mitteln finanzierten HÃ¶herverzinsung (vgl. Reservekonzept, Urk. 6/15 Ziff. 4.1 S. 22) solange teilhat, als er zu den aktiv Versicherten gehÃ¶rt. Jede andere Regelung wÃ¤re in der Tat eine Ungleichbehandlung, aber der aktiv Versicherten, wenn die Altersguthaben der Pensionierten - wie vom KlÃ¤ger verlangt - Ã¼ber den Pensionszeitpunkt hinaus ohne eigenen Beitrag weiter geÃ¤ufnet wÃ¼rden.</w:t>
      </w:r>
    </w:p>
    <w:p>
      <w:r>
        <w:t>4.Â Â Â Â Â Â Â Â  GestÃ¼tzt auf diese ErwÃ¤gungen erweist sich die Klage in jeder Beziehung als unbegrÃ¼ndet, weshalb sie abzuweisen ist.</w:t>
      </w:r>
    </w:p>
    <w:p>
      <w:r>
        <w:t>Das Gericht erkennt:</w:t>
      </w:r>
    </w:p>
    <w:p>
      <w:r>
        <w:t>1.Â Â Â Â Â Â Â Â  Die Klage wird abgewiesen.</w:t>
      </w:r>
    </w:p>
    <w:p>
      <w:r>
        <w:t>2.Â Â Â Â Â Â Â Â  Das Verfahren ist kostenlos.</w:t>
      </w:r>
    </w:p>
    <w:p>
      <w:r>
        <w:t>3.Â Â Â Â Â Â Â Â Â Â  Zustellung gegen Empfangsschein an:</w:t>
      </w:r>
    </w:p>
    <w:p>
      <w:r>
        <w:t>- X.___</w:t>
      </w:r>
    </w:p>
    <w:p>
      <w:r>
        <w:t>- Pensionskasse Y.___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