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BV.2008.00028 vom 11. Dezember 2009</w:t>
      </w:r>
    </w:p>
    <w:p>
      <w:r>
        <w:t>ZH Sozialversicherungsgericht, 2009-12-11, DE</w:t>
      </w:r>
    </w:p>
    <w:p>
      <w:r>
        <w:rPr>
          <w:b/>
        </w:rPr>
        <w:t xml:space="preserve">Quelle: </w:t>
      </w:r>
      <w:r>
        <w:t>https://mcp.opencaselaw.ch/entscheid/zh_sozialversicherungsgericht_BV.2008.00028</w:t>
      </w:r>
    </w:p>
    <w:p>
      <w:r>
        <w:t>FR: ZH_SOZIALVERSICHERUNGSGERICHT BV.2008.00028 du 11 décembre 2009</w:t>
      </w:r>
    </w:p>
    <w:p>
      <w:r>
        <w:t>IT: ZH_SOZIALVERSICHERUNGSGERICHT BV.2008.00028 del 11 dicembre 2009</w:t>
      </w:r>
    </w:p>
    <w:p>
      <w:pPr>
        <w:pStyle w:val="Heading2"/>
      </w:pPr>
      <w:r>
        <w:t>Erwägungen</w:t>
      </w:r>
    </w:p>
    <w:p>
      <w:r>
        <w:rPr>
          <w:b/>
        </w:rPr>
        <w:t>E. 1</w:t>
      </w:r>
    </w:p>
    <w:p>
      <w:r>
        <w:t>1.1Â Â Â Â  Y.___ war seit dem 1. Juni 1994 als Unternehmensberaterin, X.___ seit dem 1. August 1997 als Leiter Beratung Versicherungskunden bei der damaligen A.___ Vorsorge AG (heute: Z.___ Vorsorge AG) angestellt und damit bei der Pensionskasse der ZÃ¼rcher Kantonalbank, ab 1. Januar 2001 bei der Servisa Sammelstiftung der Kantonalbanken, vorsorgeversichert (Urk. 2/2/4-5). Per 30. September 2001 (Y.___) bzw. per 31. Oktober 2001 (X.___) wurden die ArbeitsverhÃ¤ltnisse mit der A.___ Vorsorge AG aufgelÃ¶st (Urk. 2/2/6-7).</w:t>
      </w:r>
    </w:p>
    <w:p>
      <w:r>
        <w:t>1.2Â Â Â Â  Am 9. September 2002 liessen X.___ und Y.___ gegen die Servisa Sammelstiftung der Kantonalbanken und gegen die Pensionskasse der ZÃ¼rcher Kantonalbank Klage erheben mit dem Rechtsbegehren, es sei "eine FreizÃ¼gigkeitsleistung unter Einbezug der Bonus-Zahlungen an den versicherten Verdienst auszurichten". Das damalige EidgenÃ¶ssische Versicherungsgericht (EVG) verneinte letztinstanzlich die Passivlegitimation der Pensionskasse der ZÃ¼rcher Kantonalbank und hob den Entscheid des hiesigen Gerichts vom 11. MÃ¤rz 2004, worin die Pensionskasse der ZÃ¼rcher Kantonalbank zur Zahlung einer Austrittsleistung unter Einbezug der von der frÃ¼heren Arbeitgeberin bis Ende 2000 an die KlÃ¤gerin und den KlÃ¤ger ausgerichteten Erfolgsbeteiligungs- und Bonus-Zahlungen verpflichtet worden war, auf (Urteil des EVG vom 9. November 2004, Urk. 2/2/1).</w:t>
      </w:r>
    </w:p>
    <w:p>
      <w:r>
        <w:t>1.3Â Â Â Â  Am 1. MÃ¤rz 2005 liessen X.___ und Y.___ Klage gegen die Z.___ Vorsorge AG erheben mit dem Rechtsbegehren, es sei die Beklagte unter Kostenfolge zu verpflichten, die an den KlÃ¤ger und die KlÃ¤gerin ausgerichteten Bonus-Zahlungen nachtrÃ¤glich vorsorgerechtlich zu versichern und die entsprechenden BeitrÃ¤ge an die Pensionskasse zu bezahlen (Urk. 2/1 S. 2). Die Z.___ Vorsorge AG beantragte widerklageweise - im Falle der Gutheissung der Klage -, es seien der KlÃ¤ger und die KlÃ¤gerin zu verpflichten, der Beklagten die VersichertenbeitrÃ¤ge des KlÃ¤gers und der KlÃ¤gerin, welche die Beklagte der Vorsorgeeinrichtung auf Grund der massgebenden Beitragsordnung fÃ¼r die nachtrÃ¤glich vorsorgerechtlich zu versichernden Bonus-Zahlungen entrichten mÃ¼sse, zu bezahlen. Ãberdies erhob sie die Einrede der VerjÃ¤hrung fÃ¼r allfÃ¤llige vor dem 1. MÃ¤rz 2000 fÃ¤llig gewordene BVG-BeitrÃ¤ge (Urk. 2/24 S. 7; vgl. auch Urk. 14 am Schluss). Das hiesige Gericht hiess die Klage in dem Sinne gut, als die Beklagte verpflichtet wurde, die den KlÃ¤gern bis Ende 2000 ausgerichteten Erfolgsbeteiligungs- und Bonus-Zahlungen der Vorsorgeeinrichtung als zu versichernden Verdienst zu melden (Entscheid vom 10. August 2006, Urk. 2/27). Auf Verwaltungsgerichtsbeschwerde der Beklagten hin bestÃ¤tigte das Bundesgericht mit Urteil vom 10. MÃ¤rz 2008, dass die an die KlÃ¤ger ausgerichteten Boni zum versicherten Verdienst gehÃ¶ren (Urk. 1 Erw. 2.4). Im Weiteren stellte das Bundesgericht fest, das hiesige Gericht habe mit seinem Entscheid lediglich Ã¼ber einen Teil des Rechtsbegehrens entschieden, den Antrag, die Beklagte sei zur Zahlung der auf den nachtrÃ¤glich geschuldeten Lohnbestandteilen geschuldeten BeitrÃ¤ge zu verpflichten, habe es nicht beurteilt. Es wies die Sache deshalb an das hiesige Gericht zurÃ¼ck, damit dieses die HÃ¶he der noch einzubeziehenden Lohnbestandteile und die darauf geschuldeten BeitrÃ¤ge feststelle sowie die Einrede der VerjÃ¤hrung prÃ¼fe und hernach neu entscheide (Urk. 1 Erw. 3.3).</w:t>
      </w:r>
    </w:p>
    <w:p>
      <w:r>
        <w:t>2.Â Â Â Â Â Â  Nach Eingang des Bundesgerichtsurteils wurde das Verfahren unter der Prozess-Nr. BV.2008.0028 neu angelegt. Vom Gericht initiierte aussergerichtliche und gerichtliche VergleichsbemÃ¼hungen fÃ¼hrten zu keinem Ergebnis (vgl. Urk. 8, Urk. 31 und Protokoll Referentenaudienz vom 13. Mai 2009). Im Rahmen dieser AktivitÃ¤ten legten die Parteien je eigene, stark divergierende Berechnungen der nachzuzahlenden BeitrÃ¤ge bzw. des Anspruchs auf zusÃ¤tzliche Austrittsleistungen vor (Beklagte: Urk. 15/10, Urk. 17/13 sowie nachtrÃ¤gliche ErlÃ¤uterungen, Urk. 18-19; KlÃ¤ger: Urk. 26).</w:t>
      </w:r>
    </w:p>
    <w:p>
      <w:r>
        <w:t>Â Â Â Â Â Â Â Â  Am 20. Juli 2009 wurde die Pensionskasse der ZÃ¼rcher Kantonalbank zum Verfahren beigeladen und ersucht, dem Gericht einen Vorschlag zur Berechnung der nachzuzahlenden BeitrÃ¤ge auf den aktenmÃ¤ssig ausgewiesenen Bonuszahlungen zu unterbreiten (Urk. 32). Die Beigeladene reichte ihre Berechnungen am 29. September 2009 ein (Urk. 35-36). WÃ¤hrend die KlÃ¤ger diese grundsÃ¤tzlich anerkannten (Eingabe vom 26. Oktober 2009, Urk. 39-40), teilte die Beklagte mit, sie sei nicht in der Lage, die Berechnungen der Beigeladenen materiell zu prÃ¼fen, und ersuchte das Gericht, die Beigeladene sei zu weiteren ErlÃ¤uterungen anzuhalten (Urk. 41).</w:t>
      </w:r>
    </w:p>
    <w:p>
      <w:r>
        <w:t>3.Â Â Â Â Â Â  Da mittlerweile drei Expertenberechnungen vorliegen, erweist sich die Sache als spruchreif. Namentlich besteht kein Anlass zu den von der Beklagten verlangten Weiterungen.</w:t>
      </w:r>
    </w:p>
    <w:p>
      <w:r>
        <w:t>Das Gericht zieht in ErwÃ¤gung:</w:t>
      </w:r>
    </w:p>
    <w:p>
      <w:r>
        <w:t>1.Â Â Â Â Â Â  Das Bundesgericht verpflichtete mit Urteil vom 10. MÃ¤rz 2008 das hiesige Gericht zunÃ¤chst, die HÃ¶he der noch einzubeziehenden Lohnbestandteile festzustellen (Urk. 1 Erw. 3.3). Das hiesige Gericht hat in der VerfÃ¼gung vom 20. Juli 2009 (Beiladung der Pensionskasse der ZÃ¼rcher Kantonalbank mit Berechnungsauftrag, Urk. 32) die aktenmÃ¤ssig ausgewiesenen Boni und Gewinnbeteiligungen des KlÃ¤gers und der KlÃ¤gerin aufgefÃ¼hrt. Die KlÃ¤ger haben diese implizite anerkannt (vgl. Urk. 39), wÃ¤hrend die Beklagte hierauf keinen Bezug nahm (vgl. Urk. 41).</w:t>
      </w:r>
    </w:p>
    <w:p>
      <w:r>
        <w:t>Â Â Â Â Â Â Â Â  Es ist demnach von folgenden nachtrÃ¤glich zu versichernden Bonuszahlungen auszugehen:</w:t>
      </w:r>
    </w:p>
    <w:p>
      <w:r>
        <w:t>Â Â Â Â Â Â Â Â  an den KlÃ¤ger ausgerichtet:</w:t>
      </w:r>
    </w:p>
    <w:p>
      <w:r>
        <w:t>Auszahlungsdatum</w:t>
      </w:r>
    </w:p>
    <w:p>
      <w:r>
        <w:t>Betrag in Fr.</w:t>
      </w:r>
    </w:p>
    <w:p>
      <w:r>
        <w:t>Urk.</w:t>
      </w:r>
    </w:p>
    <w:p>
      <w:r>
        <w:t>September 1998</w:t>
      </w:r>
    </w:p>
    <w:p>
      <w:r>
        <w:t>25'366</w:t>
      </w:r>
    </w:p>
    <w:p>
      <w:r>
        <w:t>15/3/2</w:t>
      </w:r>
    </w:p>
    <w:p>
      <w:r>
        <w:t>September 1999</w:t>
      </w:r>
    </w:p>
    <w:p>
      <w:r>
        <w:t>35'258</w:t>
      </w:r>
    </w:p>
    <w:p>
      <w:r>
        <w:t>15/3/3</w:t>
      </w:r>
    </w:p>
    <w:p>
      <w:r>
        <w:t>September 2000</w:t>
      </w:r>
    </w:p>
    <w:p>
      <w:r>
        <w:t>51'500</w:t>
      </w:r>
    </w:p>
    <w:p>
      <w:r>
        <w:t>15/3/4</w:t>
      </w:r>
    </w:p>
    <w:p>
      <w:r>
        <w:t>Â Â Â Â Â Â Â Â  an die KlÃ¤gerin ausgerichtet:</w:t>
      </w:r>
    </w:p>
    <w:p>
      <w:r>
        <w:t>Auszahlungsdatum</w:t>
      </w:r>
    </w:p>
    <w:p>
      <w:r>
        <w:t>Betrag in Fr.</w:t>
      </w:r>
    </w:p>
    <w:p>
      <w:r>
        <w:t>Urk.</w:t>
      </w:r>
    </w:p>
    <w:p>
      <w:r>
        <w:t>Â April 1997</w:t>
      </w:r>
    </w:p>
    <w:p>
      <w:r>
        <w:t>25'060</w:t>
      </w:r>
    </w:p>
    <w:p>
      <w:r>
        <w:t>17/3/1</w:t>
      </w:r>
    </w:p>
    <w:p>
      <w:r>
        <w:t>September 1998</w:t>
      </w:r>
    </w:p>
    <w:p>
      <w:r>
        <w:t>48'948</w:t>
      </w:r>
    </w:p>
    <w:p>
      <w:r>
        <w:t>17/3/2</w:t>
      </w:r>
    </w:p>
    <w:p>
      <w:r>
        <w:t>September 1999</w:t>
      </w:r>
    </w:p>
    <w:p>
      <w:r>
        <w:t>29'897</w:t>
      </w:r>
    </w:p>
    <w:p>
      <w:r>
        <w:t>17/3/3</w:t>
      </w:r>
    </w:p>
    <w:p>
      <w:r>
        <w:t>September 2000</w:t>
      </w:r>
    </w:p>
    <w:p>
      <w:r>
        <w:t>36'500</w:t>
      </w:r>
    </w:p>
    <w:p>
      <w:r>
        <w:t>17/3/4</w:t>
      </w:r>
    </w:p>
    <w:p>
      <w:r>
        <w:rPr>
          <w:b/>
        </w:rPr>
        <w:t>E. 2</w:t>
      </w:r>
    </w:p>
    <w:p>
      <w:r>
        <w:t>2.1Â Â Â Â  Im Weiteren verlangte das Bundesgericht, es seien die auf den Bonuszahlungen geschuldeten paritÃ¤tischen BeitrÃ¤ge in betraglicher HÃ¶he zu ermitteln. Hierzu drÃ¤ngen sich folgende Bemerkungen auf:</w:t>
      </w:r>
    </w:p>
    <w:p>
      <w:r>
        <w:t>Â Â Â Â Â Â Â Â  Nach den hier anwendbaren Statuten vom 1. Juli 1998 (Urk. 2/2/8) handelt es sich bei der Beigeladenen um eine im Leistungsprimat gefÃ¼hrte Vorsorgeeinrichtung (vgl. Ziff. 18.2). Das Leistungsprimat zeichnet sich u.a. dadurch aus, dass sich die HÃ¶he der BeitrÃ¤ge nach den vorgesehenen Leistungen, festgelegt in Prozenten des versicherten Lohnes, richtet. Wird eine Austrittsleistung fÃ¤llig, berechnet sich diese nach dem Barwert der versprochenen Rente und muss versicherungstechnisch ermittelt werden. LohnerhÃ¶hungen sind in der Regel mit zusÃ¤tzlichen BeitrÃ¤gen zu finanzieren, da hierzu die ordentlichen BeitrÃ¤ge nicht ausreichen, um das festgelegte Leistungsziel zu finanzieren (vgl. dazu Carl Helbling, Personalvorsorge und BVG, 8. Aufl. 2006, S. 173 und S. 248).</w:t>
      </w:r>
    </w:p>
    <w:p>
      <w:r>
        <w:t>Â Â Â Â Â Â Â Â  Aus der Konzeption des Leistungsprimats ergibt sich, dass die nachtrÃ¤gliche ErhÃ¶hung des versicherten Lohnes eine Anpassung des Barwertes der Rente d.h. des Deckungskapitals oder bei Austritt der FreizÃ¼gigkeitsleistung zur Folge hat. Anders als im Beitragsprimat (vgl. dazu Helbling, a.a.O., S. 248) entspricht die ErhÃ¶hung der Austrittsleistung nicht den nachzuzahlenden BeitrÃ¤gen, sondern dem Barwert der neuen Rente. Massgebend fÃ¼r den Anspruch, den eine versicherte Person bei nachtrÃ¤glicher ErhÃ¶hung des versicherten Verdienstes hat, ist somit die Differenz zwischen dem alten und dem neuen Barwert der Rente.</w:t>
      </w:r>
    </w:p>
    <w:p>
      <w:r>
        <w:t>Â Â Â Â Â Â Â Â  Das Bundesgericht hat sich in seinem Urteil vom 10. MÃ¤rz 2008 nicht dazu geÃ¤ussert, wie der nachtrÃ¤gliche Einbau der Bonuszahlungen in den versicherten Verdienst vonstatten gehen soll. Die formale Feststellung der nachzuzahlenden BeitrÃ¤ge wÃ¼rde nach dem Gesagten weder dem Wesen des Leistungsprimats noch den AnsprÃ¼chen der KlÃ¤ger gerecht. Das Urteil ist deshalb so umzusetzen, dass unter den laut Bundesgericht zu ermittelnden "BeitrÃ¤gen" die Differenz der alten zur neuen Austrittsleistung unter Verrechnung der auf die KlÃ¤ger entfallenden Arbeitnehmer-BeitrÃ¤ge zu verstehen ist. Damit werden alle AnsprÃ¼che der KlÃ¤ger (ArbeitgeberbeitrÃ¤ge und VermÃ¶gensertrÃ¤ge) bis zum Austritt abgegolten.</w:t>
      </w:r>
    </w:p>
    <w:p>
      <w:r>
        <w:t>2.2Â Â Â Â Â Â Â Â  Entsprechend den vorhergehenden Ãberlegungen zielten auch die Berechnungen der Parteien und der Beigeladenen letztlich darauf ab, die neue Austrittsleistung unter Einbezug der Boni zu ermitteln. Es ergaben sich folgende Resultate:</w:t>
      </w:r>
    </w:p>
    <w:p>
      <w:r>
        <w:t>2.2.1Â Â  Die Beklagte wÃ¤hlte fÃ¼r ihre Berechnung den Ansatz, die Bonuszahlungen als hypothetische LohnerhÃ¶hungen auf die gesamte Anstellungszeit zu verteilen und hierfÃ¼r pauschal zwei MonatslÃ¶hne einzusetzen (vgl. Urk. 19/3). Daraus ergab sich fÃ¼r den KlÃ¤ger neu eine Altersrente bei Austritt von Fr. 42'366.--, ein Barwert bei Austritt unter Abzug der ausstehenden und zusÃ¤tzlichen BeitrÃ¤ge und Nachzahlungen von Fr. 286'655.-- und eine ErhÃ¶hung der Austrittsleistung bei Austritt (vor Verzinsung) von Fr. 12'202.-- (Urk. 15/10 und Urk. 19/1 S. 4). Die entsprechenden Zahlen fÃ¼r die KlÃ¤gerin lauten: Altersrente Fr. 27'813.--, neuer Barwert Fr. 199'401.--, ErhÃ¶hung der Austrittsleistung Fr. 10'388.-- (Urk. 17/13 und Urk. 19/2).</w:t>
      </w:r>
    </w:p>
    <w:p>
      <w:r>
        <w:t>2.2.2Â Â  Die Berechnungen, welche die KlÃ¤ger erstellen liessen, basieren auf der Lohndifferenz zwischen (steuerlichem) Lohnausweis und der Pensionskasse gemeldetem Lohn (vgl. auch Urk. 1 S. 11) und ergaben beim KlÃ¤ger eine neue Altersrente von Fr. 49'434.--, eine neue FreizÃ¼gigkeitsleistung von Fr. 317'975.50, was einer ErhÃ¶hung von Fr. 51'141.60 entspricht. Bei der KlÃ¤gerin lauten die entsprechenden Zahlen: Altersrente Fr. 29'815.--, neue FreizÃ¼gigkeitsleistung Fr. 197'285.15, ErhÃ¶hung der Austrittsleistung Fr. 19'417.45 (Urk. 26/1).</w:t>
      </w:r>
    </w:p>
    <w:p>
      <w:r>
        <w:t>2.2.3Â Â  Der Beigeladenen wurde aufgegeben, ihren Berechnungen die aktenmÃ¤ssig ausgewiesenen Bonuszahlungen zugrunde zu legen (Urk. 32). Im Ãbrigen ging das Gericht davon aus, dass die Beigeladene als ehemalige Vorsorgeeinrichtung Ã¼ber sÃ¤mtliche notwendigen Daten verfÃ¼gt. Die Beigeladene baute die Boni im Zeitpunkt der effektiven Auszahlung als LohnerhÃ¶hung bis zum maximal versicherbaren Jahreslohn in den versicherten Verdienst ein. Es resultierte fÃ¼r den KlÃ¤ger eine neue Altersrente von Fr. 49'796.74 und eine neue Austrittsleistung unter Verrechnung aller Nachzahlungen von Fr. 326'320.-- (Urk. 36). Dem KlÃ¤ger wurden per 31. Dezember 2000 bereits Fr. 266'833.90 ausbezahlt (Urk. 2/2/15), womit sich eine Differenz von Fr. 59'486.10 ergibt.</w:t>
      </w:r>
    </w:p>
    <w:p>
      <w:r>
        <w:t>Â Â Â Â Â Â Â Â  FÃ¼r die KlÃ¤gerin lauten die entsprechenden Zahlen: neue Altersrente Fr. 35'366.21, neue Austrittsleistung Fr. 203'393.80 (Urk. 36). Ihr wurden bereits eine Austrittsleistung im Betrag von Fr. 177'867.70 ausbezahlt (Urk. 2/2/16). Die Differenz betrÃ¤gt Fr. 25'526.10.</w:t>
      </w:r>
    </w:p>
    <w:p>
      <w:r>
        <w:t>2.3Â Â Â Â  Die Unterschiede zwischen der Berechnung der Beklagten und derjenigen der Beigeladenen bzw. der KlÃ¤ger ist zu einem erheblichen Teil auf die unterschiedlichen methodischen AnsÃ¤tze zurÃ¼ckzufÃ¼hren.</w:t>
      </w:r>
    </w:p>
    <w:p>
      <w:r>
        <w:t>Â Â Â Â Â Â Â Â  Die Beklagte erhÃ¶ht den Lohn Ã¼ber die ganze Anstellungsdauer um den Bonusanteil (vgl. Urk. 19/3). Dies hat zu Folge, dass sich auch die Eintrittsleistung zur Deckung der zu erwartenden Rente erhÃ¶ht. D.h. mit der eingebrachten Eintrittsleistung kann prozentual weniger Rente eingekauft werden, was zu einer grÃ¶sseren Reduktion der zu erwartenden Rente fÃ¼hrt. Dementsprechend wirkt sich dies auf den Barwert der Rente beim Austritt aus (vgl. fÃ¼r den KlÃ¤ger: Urk. 15/10 und Urk. 19/1; fÃ¼r die KlÃ¤gerin: Urk. 17/13 und Urk. 19/2). Die KlÃ¤ger machten in ihrer Stellungnahme vom 22. Januar 2009 (Urk. 22) geltend, die von der Beklagten gewÃ¤hlte Berechnung wirke sich einseitig zu ihren Ungunsten aus, da die Eintrittsleistung allein vom Arbeitnehmer geleistet werde, wÃ¤hrend LohnerhÃ¶hungen durch Arbeitnehmer und Arbeitgeber gemeinsam eingekauft wÃ¼rden (vgl. auch Reglement [Urk. 2/2/8] Ziff. 23 und 24 S. 12). DemgegenÃ¼ber behandeln sowohl die KlÃ¤ger wie die Beigeladene die Boni als LohnerhÃ¶hungen, die im Zeitpunkt der Auszahlung soweit mÃ¶glich in den versicherten Lohn eingebaut werden. Die ursprÃ¼ngliche Eintrittsberechnung bleibt dabei unverÃ¤ndert, und Arbeitnehmer wie Arbeitgeber Ã¼bernehmen je ihren reglementarischen Anteil an den einzukaufenden LohnerhÃ¶hungen.</w:t>
      </w:r>
    </w:p>
    <w:p>
      <w:r>
        <w:rPr>
          <w:b/>
        </w:rPr>
        <w:t>E. 3</w:t>
      </w:r>
    </w:p>
    <w:p>
      <w:r>
        <w:t>3.1Â Â Â Â  Nach Ziff. 3.4 des Reglements der Beigeladenen (Urk. 2/2/8) entspricht der Jahreslohn grundsÃ¤tzlich dem voraussichtlichen AHV-beitragspflichtigen Jahreslohn beim Eintritt bzw. am 1. Januar. In besonderen FÃ¤llen legt die Verwaltungskommission die Bestimmung des Jahreslohnes fest. Die Beigeladene hat damit in ihrem Reglement die Konzeption des Bundesgesetzes Ã¼ber die berufliche Alters-, Hinterlassenen- und Invalidenvorsorge (BVG) Ã¼bernommen, das grundsÃ¤tzlich auf dem Prinzip der Vorausdeklaration basiert (Art. 7 Abs. 1 BVG). Eine definitive Veranlagung aufgrund des nachtrÃ¤glich festgestellten Jahreseinkommens findet in der Regel nicht statt. Eine Anpassung wÃ¤hrend des Jahres rechtfertigt sich, wenn sich die LohnhÃ¶he in einem gewissen Ausmass verÃ¤ndert und damit der versicherte Lohn nicht mehr dem Prinzip, wonach der massgebende AHV-Lohn zu versichern ist, entspricht. In der Praxis wird bei einer dauerhaften Ãnderung ab 10 % des AHV-Lohnes eine Mutation durchgefÃ¼hrt (Hans-Ulrich Stauffer, Berufliche Vorsorge, ZÃ¼rich 2005, N 455 f. mit Hinweisen).</w:t>
      </w:r>
    </w:p>
    <w:p>
      <w:r>
        <w:t>3.2Â Â Â Â  Da Bonuszahlungen nicht im Voraus bekannt sind und damit keine Vorausdeklaration erlauben, entspricht die von der Beklagten gewÃ¤hlte Methode nicht den gesetzlichen Rahmenbedingungen.</w:t>
      </w:r>
    </w:p>
    <w:p>
      <w:r>
        <w:t>Â Â Â Â Â Â Â Â  Das Vorgehen der Beklagten, die Bonuszahlung als rÃ¼ckwirkende ErhÃ¶hung des Jahreslohnes zu behandeln, ist zwar durchaus nachvollziehbar, weil damit berÃ¼cksichtigt wird, dass Boni oder Gewinnbeteiligungen wesensgemÃ¤ss fÃ¼r eine rÃ¼ckwÃ¤rtige Zeitperiode ausgeschÃ¼ttet werden, und es ist nicht auszuschliessen, dass diese Methode bei echtzeitlichem Miteinbezug der zu erwartenden Boni gewÃ¤hlt worden wÃ¤re. Allerdings verÃ¤ndern sich dadurch die Einkaufsbedingungen beim Eintritt nachtrÃ¤glich, was ohne vertragliche Grundlage nicht einseitig zu Lasten der Arbeitnehmer gehen kann, wie die KlÃ¤ger zu Recht bemerken (vgl. Urk. 22). FÃ¼r eine Beteiligung der Arbeitgeberin am Einkauf beim Eintritt fehlt es an einer reglementarischen Grundlage (vgl. Ziff. 24 des Reglements), und es ist fraglich, ob mit Ziff. 27.11 des Reglements (Entscheid Ã¼ber gesetzlich oder reglementarisch nicht geregelte FÃ¤lle) eine genÃ¼gende Rechtsgrundlage bestÃ¼nde, wie die Beklagte geltend macht (Urk. 19/3 S. 2).</w:t>
      </w:r>
    </w:p>
    <w:p>
      <w:r>
        <w:t>3.3Â Â Â Â  Das Gericht geht davon aus, dass alle drei Berechnungen von qualifizierten Experten erstellt wurden. Die abweichenden Ergebnisse zeigen, dass sich die Sachlage nicht eindeutig prÃ¤sentiert und grundsÃ¤tzlich verschiedene LÃ¶sungen mÃ¶glich sind. Zwei der drei Berechnungen basieren, wie erwÃ¤hnt, auf dem Ansatz, die Boni im Zeitpunkt der Auszahlung als LohnerhÃ¶hung zu behandeln und in den versicherten Verdienst einzubauen. Diesen Berechnungsmodus wandte insbesondere die Beigeladene an. Als ehemalige Vorsorgeeinrichtung der Beklagten kennt sie deren VerhÃ¤ltnisse, vertritt aber gleichzeitig keine eigenen finanziellen Interessen, da die vorsorgerechtlichen Verbindungen zu den Parteien aufgelÃ¶st sind. Weil sich deren Berechnung auf die aktenmÃ¤ssig ausgewiesenen Bonuszahlungen stÃ¼tzt (und nicht auf der Differenz zwischen Lohnausweis und gemeldetem Lohn, wie die Berechnung der KlÃ¤ger) und zudem die gesetzlichen und reglementarischen Rahmenbedingungen einhÃ¤lt, ist sie den beiden anderen vorzuziehen.</w:t>
      </w:r>
    </w:p>
    <w:p>
      <w:r>
        <w:t>Â Â Â Â Â Â Â Â  Hinsichtlich des rechnerischen Vorgehens der Beigeladenen an sich besteht aufgrund der Akten bzw. des Reglements kein Anlass, ihre Resultate anzuzweifeln. Insbesondere hat sie die Entwicklung des maximal versicherbaren Verdienstes seit 1998 miteinbezogen und die Boni nur bis zu diesen GrenzbetrÃ¤gen in den versicherten Verdienst eingebaut (vgl. Urk. 36).</w:t>
      </w:r>
    </w:p>
    <w:p>
      <w:r>
        <w:t>3.4Â Â Â Â  Die KlÃ¤ger anerkannten am 26. Oktober 2009 die Berechnung der Beigeladenen vollumfÃ¤nglich (Urk. 39). Deren Zusammenstellung der relevanten Daten ist korrekt und ergibt fÃ¼r den KlÃ¤ger eine nachzuzahlende, mathematisch gerundete Differenz ohne Zins von Fr. 59'486.-- und fÃ¼r die KlÃ¤gerin eine solche von Fr. 25'526.-- (vgl. Urk. 36 und Urk. 2/2/15-16).</w:t>
      </w:r>
    </w:p>
    <w:p>
      <w:r>
        <w:t>3.5Â Â Â Â  Da der Anspruch der KlÃ¤ger letztlich auf die Austrittsleistung geht (vgl. Erw. 2.1), sind fÃ¼r die Verzinsung und VerjÃ¤hrung die entsprechenden gesetzlichen Bestimmungen heranzuziehen.</w:t>
      </w:r>
    </w:p>
    <w:p>
      <w:r>
        <w:t>3.5.1Â Â  Nach Art. 2 Abs. 3 des Bundesgesetzes Ã¼ber die FreizÃ¼gigkeit in der beruflichen Alters-, Hinterlassenen- und Invalidenvorsorge (FZG) wird die Austrittsleistung nach dem Austritt aus der Vorsorgeeinrichtung fÃ¤llig. Ab diesem Zeitpunkt ist sie zu verzinsen. Nach der bis Ende 2004 gÃ¼ltig gewesenen Fassung von Art. 2 Abs. 3 FZG in Verbindung mit Art. 7 der FreizÃ¼gigkeitsverordnung und Art. 15 Abs. 2 BVG sowie Art. 12 der Verordnung Ã¼ber die berufliche Alters-, Hinterlassenen- und Invalidenvorsorge (BVV 2), je in der bis 31. Dezember 2004 gÃ¼ltig gewesenen Fassung, entsprach der Verzugszinssatz dem BVG-Mindestzinssatz plus einem Viertel Prozent. In der ab 1. Januar 2005 geltenden Fassung von Art. 2 Abs. 3 FZG ist die Austrittsleistung nach Art. 15 Abs. 2 BVG zu verzinsen. Ãberweist die Vorsorgeeinrichtung die fÃ¤llige Austrittsleistung nicht innert 30 Tagen, nachdem sie die notwendigen Angaben erhalten hat, so ist ab Ende dieser Frist ein Verzugszins nach Art. 26 Abs. 2 FZG zu bezahlen (Art. 2 Abs. 4 FZG). Der Verzugszinssatz entspricht dem BVG-Mindestzinssatz plus einem Prozent (Art. 7 FZV, in der seit 1. Januar 2005 geltenden Fassung).</w:t>
      </w:r>
    </w:p>
    <w:p>
      <w:r>
        <w:t>Â Â Â Â Â Â Â Â  Dementsprechend ist die nachzuzahlende Austrittsleistung ab Austritt mit dem Zinssatz gemÃ¤ss Art. 12 BVV 2 zu verzinsen, fÃ¼r die Jahre 2001 bis und mit 2004 erhÃ¶ht um jeweils 0,25 %. Dieser Mindestzinssatz betrug 2001 und 2002 4 %, 2003 3.25 %, 2004 2.25 %, 2005-2007 2.5 %, 2008 2.75 % und ab 2009 2 % (Art. 12 BVV 2 in den entsprechenden Fassungen bzw. Zusammenstellung des BSV "Wichtige Masszahlen im Bereich der beruflichen Vorsorge", abrufbar unter www.bsv.admin.ch ). Nach Ablauf einer Zahlungsfrist von 30 Tagen ab Rechtskraft des Urteils ist zudem eine Verzugszinspflicht zum Zinssatz gemÃ¤ss Art. 7 FZV vorzunehmen (Mindestzinssatz gemÃ¤ss BVG plus 1 %). Ab diesem Zeitpunkt ist davon auszugehen, dass die Beklagte "die notwendigen Angaben" zur Auszahlung im Sinne von Art. 2 Abs. 4 FZG hat.</w:t>
      </w:r>
    </w:p>
    <w:p>
      <w:r>
        <w:t>Â Â Â Â Â Â Â Â  Mit den erwÃ¤hnten ZinssÃ¤tzen ergibt sich ab 1. Januar 2001 bis 31. Dezember 2009 ein Aufzinsungsfaktor von 1.3013 (1.0425 x 1.0425 x 1.035 x 1.025 x 1.025 x 1.025 x 1.025 x 1.0275 x 1.02), woraus sich ein Anspruch des KlÃ¤gers von Fr. 77'409.15 (Fr. 59'486.-- x 1.3013) und der KlÃ¤gerin von Fr. 33'217.-- (Fr. 25'526.-- x 1.3013) ergibt. Die weitere Verzinsung ab 1. Januar 2010 richtet sich nach den anwendbaren ZinssÃ¤tzen gemÃ¤ss Art. 12 BVV 2 bzw. Art. 7 FZV.</w:t>
      </w:r>
    </w:p>
    <w:p>
      <w:r>
        <w:t>3.5.2Â Â Â Â Â Â Â Â  Aufgrund der besonderen Konstellation des vorliegenden Falles, die darin besteht, dass eine Nachzahlung zur bar ausbezahlten Austrittsleistung an eine nicht mehr obligatorisch vorsorgeversicherte Person zu erbringen ist, rechtfertigt es sich, die Beklagte zur direkten Leistung an die KlÃ¤ger zu verpflichten.</w:t>
      </w:r>
    </w:p>
    <w:p>
      <w:r>
        <w:t>3.5.3Â Â  Nach der Rechtsprechung unterliegt die FreizÃ¼gigkeitsleistung nicht den VerjÃ¤hrungsregeln des Art. 41 BVG und verjÃ¤hrt nicht, solange die Pflicht zur Erhaltung des Vorsorgeschutzes besteht (BGE 127 V 315 Erw. 6a). Die KlÃ¤ger sind als selbstÃ¤ndig Erwerbende der obligatorischen beruflichen Vorsorge nicht unterstellt (Art. 2 Abs. 1 BVG). Es ist deshalb davon auszugehen, dass die vorliegende Forderung gemÃ¤ss Art. 127 des Obligationenrechts (OR) nach 10 Jahren verjÃ¤hrt. Diese Frist ist noch nicht abgelaufen, weshalb die VerjÃ¤hrungseinrede der Beklagten abzuweisen ist.</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Den obsiegenden KlÃ¤gern ist eine GesamtentschÃ¤digung fÃ¼r die beiden Verfahren BV.2005.00029 und BV.2008.00028 zuzusprechen. Im Urteil vom 10. August 2006 legte das hiesige Gericht die EntschÃ¤digung fÃ¼r das Verfahren BV.2005.00029 auf Fr. 1'500.-- fest (Urk. 27 Erw. 6 und Dispositiv Ziff. 3). Unter BerÃ¼cksichtigung der weiteren Aufwendungen fÃ¼r das vorliegenden Verfahren (inklusive Parteiexpertise zur Berechnung der Austrittsleistung) ist die EntschÃ¤digung auf Fr. 10'000.-- (inklusive Barauslagen und MWSt) festzusetzen.</w:t>
      </w:r>
    </w:p>
    <w:p>
      <w:r>
        <w:t>Das Gericht erkennt:</w:t>
      </w:r>
    </w:p>
    <w:p>
      <w:r>
        <w:t>1.Â Â Â Â Â Â Â Â  In Gutheissung der Klage wird die Beklagte verpflichtet, dem KlÃ¤ger den Betrag von Fr. 77'409.15 und der KlÃ¤gerin den Betrag von Fr. 33'217.-(jeweils inklusive Zins bis 31. Dezember 2009) zuzÃ¼glich Zins ab 1. Januar 2010 im Sinne der ErwÃ¤gungen zu bezahlen.</w:t>
      </w:r>
    </w:p>
    <w:p>
      <w:r>
        <w:t>2.Â Â Â Â Â Â Â Â  Das Verfahren ist kostenlos.</w:t>
      </w:r>
    </w:p>
    <w:p>
      <w:r>
        <w:t>3.Â Â Â Â Â Â Â Â  Die Beklagte wird verpflichtet, den Klagenden eine ProzessentschÃ¤digung von Fr. 10'000.-- (inkl. Barauslagen und MWSt) zu bezahlen.</w:t>
      </w:r>
    </w:p>
    <w:p>
      <w:r>
        <w:t>4.Â Â Â Â Â Â Â Â Â Â  Zustellung gegen Empfangsschein an:</w:t>
      </w:r>
    </w:p>
    <w:p>
      <w:r>
        <w:t>- Rechtsanwalt Dr. Hans-Ulrich Stauffer</w:t>
      </w:r>
    </w:p>
    <w:p>
      <w:r>
        <w:t>- Rechtsanwalt Rolf Schuler</w:t>
      </w:r>
    </w:p>
    <w:p>
      <w:r>
        <w:t>- Pensionskasse der ZÃ¼rcher Kantonalbank</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