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BV.2007.00048 vom 23. März 2009</w:t>
      </w:r>
    </w:p>
    <w:p>
      <w:r>
        <w:t>ZH Sozialversicherungsgericht, 2009-03-23, DE</w:t>
      </w:r>
    </w:p>
    <w:p>
      <w:r>
        <w:rPr>
          <w:b/>
        </w:rPr>
        <w:t xml:space="preserve">Quelle: </w:t>
      </w:r>
      <w:r>
        <w:t>https://mcp.opencaselaw.ch/entscheid/zh_sozialversicherungsgericht_BV.2007.00048</w:t>
      </w:r>
    </w:p>
    <w:p>
      <w:r>
        <w:t>FR: ZH_SOZIALVERSICHERUNGSGERICHT BV.2007.00048 du 23 mars 2009</w:t>
      </w:r>
    </w:p>
    <w:p>
      <w:r>
        <w:t>IT: ZH_SOZIALVERSICHERUNGSGERICHT BV.2007.00048 del 23 marzo 2009</w:t>
      </w:r>
    </w:p>
    <w:p>
      <w:pPr>
        <w:pStyle w:val="Heading2"/>
      </w:pPr>
      <w:r>
        <w:t>Erwägungen</w:t>
      </w:r>
    </w:p>
    <w:p>
      <w:r>
        <w:rPr>
          <w:b/>
        </w:rPr>
        <w:t>E. 2</w:t>
      </w:r>
    </w:p>
    <w:p>
      <w:r>
        <w:t>Kein Anspruch auf Hinterlassenenleistungen nach Absatz 1 Buchstabe a besteht, wenn die begÃ¼nstigte Person eine Witwer- oder Witwenrente bezieht.</w:t>
      </w:r>
    </w:p>
    <w:p>
      <w:r>
        <w:t>Â Â Â Â Â Â Â Â  Nach einhelliger Lehrmeinung ist die in Art. 20a lit. a-c BVG aufgestellte Kaskadenfolge wie auch der Kreis der BegÃ¼nstigten zwingend und abschliessend. Insbesondere kann der Kreis der BegÃ¼nstigten nicht erweitert oder die Reihenfolge der verschiedenen Gruppen von BegÃ¼nstigten nicht verÃ¤ndert werden (vgl. Riemer/Riemer-Kafka, Berufliche Vorsorge, 2. Aufl., Bern 2006, S. 119 Rz 62; Moser, Die Lebenspartnerschaft in der beruflichen Vorsorge, AJP 12/2004 S. 1509 f.; Mitteilungen des BSV, a.a.O., Rz 472). Dass Art. 10 Ziff. 3 Reglement 2005 nicht mit Art. 20a BVG kompatibel ist, ist unter den Verfahrensbeteiligten unbestritten (vgl. Urk. 1 S. 12 Ziff. 12, Urk. 17 S. 7, Urk. 36 S. 8). So verletzt die reglementarische Ordnung mit der freien Wahl zwischen den BegÃ¼nstigtengruppen (vgl. Erw. 3.1) die zu beachtende Kaskadenreihenfolge in Art. 20a BVG. Weiter wird der Kreis der BegÃ¼nstigten gegenÃ¼ber Art. 20a BVG erweitert, indem alle Kinder begÃ¼nstigt werden kÃ¶nnen, wÃ¤hrend in der zweiten Kaskade von Art. 20a BVG nur diejenigen Kinder aufgefÃ¼hrt sind, die nicht bereits eine Waisenrente erhalten.</w:t>
      </w:r>
    </w:p>
    <w:p>
      <w:r>
        <w:t>3.3Â Â Â Â  Die Kernfrage des vorliegenden Verfahrens, nÃ¤mlich wie die BegÃ¼nstigungsanordnung vom 22. Mai 2002 des verstorbenen A.___ im Licht der im Todesfallzeitpunkt anwendbaren gesetzlichen und reglementarischen Bestimmungen rechtskonform vorzunehmen ist, wird von den Verfahrensbeteiligten unterschiedlich beantwortet.</w:t>
      </w:r>
    </w:p>
    <w:p>
      <w:r>
        <w:t>3.3.1Â Â  Die KlÃ¤gerin macht zur Verteidigung ihrer BegÃ¼nstigung im Wesentlichen geltend, hinsichtlich der Hinterlassenenleistungen fungiere sie gemÃ¤ss Art. 20a BVG in der prioritÃ¤ren Ranggruppe. AnsprÃ¼che der Tochter Sandra seien aufgrund der zwingenden Kaskadenordnung nachrangig. Was die AnsprÃ¼che des Beigeladenen betreffe, so sei dieser als BezÃ¼ger einer Waisenrente gemÃ¤ss Art. 20 BVG von der BegÃ¼nstigungsordnung nach Art. 20a BVG explizit ausgeschlossen. Er werde indessen nicht Ã¼bergangen, sondern erhalte mindestens die gesetzliche Waisenrente von der Beklagten 2. Die beiden Vorsorgeeinrichtungen kÃ¶nnten hinsichtlich des Vorsorgezwecks nicht unabhÃ¤ngig voneinander betrachtet werden. Mit der Ausrichtung der Waisenrente durch die Beklagte 2 sei fÃ¼r den Beigeladenen der minimale Vorsorgezweck erfÃ¼llt. Aufgrund des Ausschlusses aus der BegÃ¼nstigungsordnung in Art. 20a BVG bleibe kein Raum fÃ¼r zwingende und unabdingbare AnsprÃ¼che von Waisen auf zusÃ¤tzliche Leistungen, wÃ¼rde dies doch zu einer doppelten BerÃ¼cksichtigung fÃ¼hren. Eine derartige Auslegung widerspreche im Ãbrigen dem Zweck der 1. BVG-Revision, welche die Vorsorge fÃ¼r nichtverheiratete Lebenspartner im Ã¼berobligatorischen Bereich verbessern wollte (vgl. Urk. 1 S. 10 ff., Urk. 25 S. 4 ff.).</w:t>
      </w:r>
    </w:p>
    <w:p>
      <w:r>
        <w:t>3.3.2Â Â  Die Beklagte 1 ging zunÃ¤chst davon aus, dass mit EinfÃ¼hrung des neuen Art. 20a BVG eine zwingende und unabÃ¤nderbare BegÃ¼nstigungsordnung entstanden sei, die Anspruchsberechtigte nach Art. 19 (Ã¼berlebender Ehegatte) und 20 (Waisen) weiteren natÃ¼rlichen Personen voranstelle. Da Art. 20a BVG nicht zwischen Renten- und Kapitalleistungen unterscheide, stehe der Beigeladene mit dem Anspruch auf das Todesfallkapital vor der Konkubine (Urk. 17 S. 7 ff.). SpÃ¤ter schloss sie sich dem Antrag des Beigeladenen an, der eine hÃ¤lftige Teilung des Todesfallkapitals der Beklagten 1 zwischen der KlÃ¤gerin und dem Beigeladenen postulierte (Urk. 40 Ziff. 2). Der Beigeladene begrÃ¼ndete dies wie folgt (vgl. Urk. 36 S. 5 ff.): Die Formulierung von Art. 20a BVG, wonach "neben" dem Ã¼berlebenden Ehegatten (Art. 19 BVG) und den Waisen (Art. 20 BVG) die weiteren in lit. a bis c erwÃ¤hnten Personen als BegÃ¼nstigte vorgesehen werden kÃ¶nnen, sei so auszulegen, dass die BegÃ¼nstigung einer Person aus dem Kreis des Art. 20a BVG nur zusÃ¤tzlich, nicht aber anstelle des Ehegatten oder Waisen vorgenommen werden kÃ¶nne. Die in Art. 10 Ziff. 3 lit. b Reglement 2005 vorgesehene freie DispositionsmÃ¶glichkeit in Bezug auf die Kinder widerspreche dann dem Gesetz, wenn beim Tod des Versicherten rentenberechtigte Kinder vorhanden seien. Somit sei der Beigeladene im vorliegenden Fall auch im Sinne von Art. 20a Abs. 1 BVG als Anspruchsberechtigter zu qualifizieren. Dies habe zur Folge, dass er "neben" der KlÃ¤gerin von Gesetzes wegen begÃ¼nstigt sei. Der gesetzlichen Regelung kÃ¶nne nur dergestalt Rechnung getragen werden, indem das reglementarisch geschuldete Todesfallkapital zu gleichen Teilen der KlÃ¤gerin und dem Beklagten ausbezahlt werde.</w:t>
      </w:r>
    </w:p>
    <w:p>
      <w:r>
        <w:t>3.4Â Â Â Â  Der Auslegung von Art. 20a BVG, wie sie die KlÃ¤gerin vorgenommen hat, ist im Ergebnis beizupflichten.</w:t>
      </w:r>
    </w:p>
    <w:p>
      <w:r>
        <w:t>3.4.1Â Â  Der 2. Abschnitt des BVG steht unter dem Titel "Hinterlassenenleistungen". Darunter sind sowohl Renten- wie Kapitalleistungen zu verstehen. Im Bereich des Obligatoriums sind fÃ¼r den Ã¼berlebenden Ehegatten und die Waisen ausschliesslich Renten vorgesehen (Art. 19 und 20 BVG). Dieser Anspruch ist zwingend und kann nicht wegbedungen werden. Nach Art. 20a BVG kÃ¶nnen die Reglemente der Vorsorgeeinrichtungen auch (Ã¼berobligatorische) Hinterlassenenleistungen fÃ¼r "weitere begÃ¼nstigte Personen" vorsehen. Aus diesem Titel ergibt sich, dass der Ã¼berlebende Ehegatte und die Waisen (sofern vorhanden) bereits als begÃ¼nstigte Personen gelten, die vorab Hinterlassenenleistungen in Form von Renten erhalten. Der einleitende Satz von Abs. 1 weist im Weiteren darauf hin, dass "neben" den bereits BegÃ¼nstigten bzw. Anspruchsberechtigten (Ehegatte und Waisen) weitere Personen fÃ¼r Hinterlassenenleistungen vorgesehen werden kÃ¶nnen (vgl. Erw. 3.2). Dieser Wortlaut enthÃ¤lt keine StÃ¼tze dafÃ¼r, dass der Ehegatte oder die Waisen zusÃ¤tzlich zur BegÃ¼nstigung durch Art. 19 bzw. 20 BVG auch fÃ¼r die Ã¼berobligatorischen Leistungen zwingend zu berÃ¼cksichtigen wÃ¤ren, wie dies die Beklagte 1 und der Beigeladene geltend machen. Versteht man unter dem Begriff "begÃ¼nstigte Personen" (Titel von Art. 20a BVG) alle Personen gemÃ¤ss Art. 19-20a BVG, fÃ¼r welche eine Vorsorgeeinrichtung Hinterlassenenleistungen ausrichten muss oder darf, dann wird klar, dass der Ã¼berlebende Ehegatte und die Waisen als von Gesetzes wegen Rentenberechtigte und damit vorab BegÃ¼nstigte immer "neben" weitere BegÃ¼nstigte gemÃ¤ss Art. 20a BVG treten. Daraus kann indessen nicht abgeleitet werden, dass sie auch fÃ¼r Ã¼berobligatorische Hinterlassenenleistungen von Gesetzes wegen zu berÃ¼cksichtigen wÃ¤ren.</w:t>
      </w:r>
    </w:p>
    <w:p>
      <w:r>
        <w:t>3.4.2Â Â  Im vorliegenden Fall wurde die KlÃ¤gerin mit der BegÃ¼nstigungsanordnung des verstorbenen A.___ vom 22. Mai 2002 an die erste Stelle fÃ¼r den Anspruch auf das Todesfallkapital gestellt. Die einzige Bedingung gemÃ¤ss Art. 10 Reglement 2005 hierfÃ¼r ist das Fehlen eines hinterbliebenen Ehepartners. Da der Beigeladene bereits Rentenleistungen der Beklagten 2 bezieht, ist sein gesetzlicher Anspruch auf Hinterlassenenleistungen erfÃ¼llt. FÃ¼r weitere (Ã¼berobligatorische) Hinterlassenenleistungen hÃ¤tte er zusÃ¤tzlich begÃ¼nstigt werden mÃ¼ssen. Nach dem Gesagten gibt Art. 20a BVG den gesetzlich Leistungsberechtigten keinen Anspruch auf weitere Leistungen, wenn sie nicht ausdrÃ¼cklich begÃ¼nstigt sind oder die Vorsorgeeinrichtung nicht reglementarisch den Anspruch von Personen gemÃ¤ss Art. 20a BVG an das Fehlen gesetzlich Leistungsberechtigter knÃ¼pft (so Riemer, a.a.O., S. 120 Rz 63). Auch das BSV geht davon aus, dass eine Vorsorgeeinrichtung, die dem Ã¼berlebenden Ehegatten und den Waisen ein Todesfallkapital ausrichten will, das VerhÃ¤ltnis zwischen diesen Hinterlassenen und den BegÃ¼nstigten gemÃ¤ss Art. 20a BVG regeln muss. Die Auffassung des BSV, wonach das Gesetz fÃ¼r Ã¼berobligatorische Leistungen keine PrioritÃ¤t fÃ¼r die Hinterlassenen nach Art. 19 und 20 BVG vorsieht, diese aber auch nicht ausschliesst (Mitteilungen des BSV Ã¼ber die berufliche Vorsorge Nr. 104 vom 5. MÃ¤rz 2008, Rz 625), deckt sich mit den vorhergehenden Ãberlegungen.</w:t>
      </w:r>
    </w:p>
    <w:p>
      <w:r>
        <w:t>3.5Â Â Â Â  Aus all dem folgt, dass der BegÃ¼nstigung der KlÃ¤gerin trotz der nicht in allen Teilen gesetzeskonformen Reglementsbestimmung (vgl. Erw. 3.2) den gesetzlichen Vorgaben nicht widerspricht. Namentlich kann der Beigeladene keinen Anspruch auf das Todesfallkapital der Beklagten 1 erheben.</w:t>
      </w:r>
    </w:p>
    <w:p>
      <w:r>
        <w:t>3.6Â Â Â Â  Im masslicher Hinsicht bezifferte die Beklagte 1 das Todesfallkapital auf Fr. 750'000.-- (Urk. 17 S. 5 Ziff. III 9. und Urk. 18/1-2). Dieser Betrag wird von der KlÃ¤gerin nicht in Frage gestellt (Urk. 25 S. 7 oben). Das Kapital wird beim Tod des Mitgliedes fÃ¤llig (Art. 10 Ziff. 1 Reglement 2005). Nach der Rechtsprechung gelten reglementarische oder statutarische LeistungsansprÃ¼che als Forderungen mit einem bestimmten Verfalltag (hier: Todestag), weshalb die Vorsorgeeinrichtung mit Ablauf dieses Tages grundsÃ¤tzlich in Verzug gerÃ¤t, ohne dass eine Mahnung des Versicherten nÃ¶tig wÃ¤re (BGE 277 V 390 Erw. 5e/bb). Das Kapital ist somit wie beantragt ab 7. April 2006 mit 5 % zu verzinsen (Art. 102 Abs. 2 und 104 Abs. 1 OR).</w:t>
      </w:r>
    </w:p>
    <w:p>
      <w:r>
        <w:t>4.Â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Die KlÃ¤gerin obsiegt gegen die Beklagte 1, wÃ¤hrend sie gegen die Beklagte 2 unterliegt. Es ist ihr deshalb eine reduzierte ProzessentschÃ¤digung von Fr. 2'500.-- (inkl. Barauslagen und MWSt) zuzusprechen, welche von der Beklagten 1 zu bezahlen ist.</w:t>
      </w:r>
    </w:p>
    <w:p>
      <w:r>
        <w:t>Â Â Â Â Â Â Â Â  VersicherungstrÃ¤gern steht in der Regel kein Anspruch auf Ersatz der Parteikosten zu (Â§ 34 Abs. 2 GSVGer). Davon abzuweichen besteht vorliegend kein Anlass, weshalb der Beklagten 2 keine ProzessentschÃ¤digung zuzusprechen ist.</w:t>
      </w:r>
    </w:p>
    <w:p>
      <w:r>
        <w:t>Das Gericht erkennt:</w:t>
      </w:r>
    </w:p>
    <w:p>
      <w:r>
        <w:t>1.Â Â Â Â Â Â Â Â  In Gutheissung der Klage gegen die Beklagte 1 wird diese verpflichtet, der KlÃ¤gerin das Todesfallkapital von Fr. 750'000.-- zuzÃ¼glich Verzugszins von 5 % seit 7. April 2006 auszuzahlen.</w:t>
      </w:r>
    </w:p>
    <w:p>
      <w:r>
        <w:t>2.Â Â Â Â Â Â Â Â  Die Klage gegen die Beklagte 2 wird abgewiesen.</w:t>
      </w:r>
    </w:p>
    <w:p>
      <w:r>
        <w:t>3.Â Â Â Â Â Â Â Â  Das Verfahren ist kostenlos.</w:t>
      </w:r>
    </w:p>
    <w:p>
      <w:r>
        <w:t>4.Â Â Â Â Â Â Â Â  Die Beklagte 1 wird verpflichtet, der KlÃ¤gerin eine ProzessentschÃ¤digung von Fr. 2'500.-- (inkl. Barauslagen und MWSt) zu bezahlen.</w:t>
      </w:r>
    </w:p>
    <w:p>
      <w:r>
        <w:t>5.Â Â Â Â Â Â Â Â  Der Beklagten 2 wird keine ProzessentschÃ¤digung zugesprochen.</w:t>
      </w:r>
    </w:p>
    <w:p>
      <w:r>
        <w:t>6.Â Â Â Â Â Â Â Â Â Â  Zustellung gegen Empfangsschein an:</w:t>
      </w:r>
    </w:p>
    <w:p>
      <w:r>
        <w:t>- RechtsanwÃ¤ltin Dina Raewel</w:t>
      </w:r>
    </w:p>
    <w:p>
      <w:r>
        <w:t>- Rechtsanwalt Dr. Hans-Ulrich Stauffer</w:t>
      </w:r>
    </w:p>
    <w:p>
      <w:r>
        <w:t>- Rechtsanwalt Dr. Andreas Haffter</w:t>
      </w:r>
    </w:p>
    <w:p>
      <w:r>
        <w:t>- Bundesamt fÃ¼r Sozialversicherungen</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