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BV.2007.00044 vom 23. Juni 2008</w:t>
      </w:r>
    </w:p>
    <w:p>
      <w:r>
        <w:t>ZH Sozialversicherungsgericht, 2008-06-23, DE</w:t>
      </w:r>
    </w:p>
    <w:p>
      <w:r>
        <w:rPr>
          <w:b/>
        </w:rPr>
        <w:t xml:space="preserve">Quelle: </w:t>
      </w:r>
      <w:r>
        <w:t>https://mcp.opencaselaw.ch/entscheid/zh_sozialversicherungsgericht_BV.2007.00044</w:t>
      </w:r>
    </w:p>
    <w:p>
      <w:r>
        <w:t>FR: ZH_SOZIALVERSICHERUNGSGERICHT BV.2007.00044 du 23 juin 2008</w:t>
      </w:r>
    </w:p>
    <w:p>
      <w:r>
        <w:t>IT: ZH_SOZIALVERSICHERUNGSGERICHT BV.2007.00044 del 23 giugno 2008</w:t>
      </w:r>
    </w:p>
    <w:p>
      <w:pPr>
        <w:pStyle w:val="Heading2"/>
      </w:pPr>
      <w:r>
        <w:t>Erwägungen</w:t>
      </w:r>
    </w:p>
    <w:p>
      <w:r>
        <w:rPr>
          <w:b/>
        </w:rPr>
        <w:t>E. 3</w:t>
      </w:r>
    </w:p>
    <w:p>
      <w:r>
        <w:t>3.1Â Â Â Â  Ob eine Partei als KlÃ¤gerin aufzutreten berechtigt (Aktivlegitimation) und welche Partei einzuklagen ist (Passivlegitimation), bestimmt sich nach dem materiellen Recht. GrundsÃ¤tzlich ist der TrÃ¤ger des fraglichen Rechts aktivlegitimiert, passivlegitimiert der materiell Verpflichtete, gegen den sich das Recht richtet (BGE 116 II 257 Erw. 3; vgl. auch BGE 125 III 84 Erw. 1a, 123 III 220, 110 V 348 Erw. 1).</w:t>
      </w:r>
    </w:p>
    <w:p>
      <w:r>
        <w:t>3.2Â Â Â Â  Die KlÃ¤gerin als Ã¼berlebende Ehegattin des Versicherten (Urk. 7/5) ist zur vorliegenden Klage aktivlegitimiert. Nachdem die Beklagte die Klage gegen sich gelten lÃ¤sst, obwohl die KlÃ¤gerin irrtÃ¼mlicherweise die Pensionskasse MOBIL, welche ihrerseits der Gemeinschaftsstiftung fÃ¼r berufliche Vorsorge im Schweizerischen Gewerbe angehÃ¶rt (Urk. 7/12 S. 5), eingeklagt hat, besteht auch hinsichtlich der Passivlegitimation der Beklagten kein Hindernis, womit auf die Klage einzutreten ist.Â Â Â</w:t>
      </w:r>
    </w:p>
    <w:p>
      <w:r>
        <w:rPr>
          <w:b/>
        </w:rPr>
        <w:t>E. 4</w:t>
      </w:r>
    </w:p>
    <w:p>
      <w:r>
        <w:t>4.1Â Â Â Â  Nach Art. 6 BVG enthÃ¤lt der zweite Teil dieses Gesetzes Mindestvorschriften. Dazu gehÃ¶ren die im 3. Kapitel (Art. 13 ff.) enthaltenen Bestimmungen Ã¼ber die Versicherungsleistungen. Mit diesen Bestimmungen hat der Gesetzgeber insbesondere auch die Leistungsarten und die hiefÃ¼r geltenden Anspruchsvoraussetzungen geregelt, woran die Vorsorgeeinrichtungen im Sinne von Mindestvorschriften gebunden sind (BGE 121 V 106 Erw. 4a mit Hinweis).</w:t>
      </w:r>
    </w:p>
    <w:p>
      <w:r>
        <w:rPr>
          <w:b/>
        </w:rPr>
        <w:t>E. 4.2</w:t>
      </w:r>
    </w:p>
    <w:p>
      <w:r>
        <w:t>4.2.1Â Â  Ein Anspruch auf Hinterlassenenleistungen (im Bereich des Obligatoriums) besteht nur, wenn der Verstorbene im Zeitpunkt des Todes oder bei Eintritt der ArbeitsunfÃ¤higkeit, deren Ursache zum Tode gefÃ¼hrt hat, versichert war (Art. 18 lit. a BVG). GemÃ¤ss Art. 19 BVG hat der Ã¼berlebende Ehegatte Anspruch auf eine Witwen- oder Witwerrente, wenn er beim Tod des Ehegatten (Abs. 1): FÃ¼r den Unterhalt mindestens eines Kindes aufkommen muss (lit. a), oder Ã¤lter als 45 Jahre ist und die Ehe mindestens fÃ¼nf Jahre gedauert hat (lit. b). Der Ã¼berlebende Ehegatte, der keine der Voraussetzungen nach Absatz 1 erfÃ¼llt, hat Anspruch auf eine einmalige Abfindung in HÃ¶he von drei Jahresrenten (Abs. 2). Laut Art. 20 erster Satzteil BVG haben die Kinder des Verstorbenen Anspruch auf Waisenrenten. Nach Art. 21 Abs. 1 BVG betrÃ¤gt die Witwen- oder Witwerrente 60 Prozent, die Waisenrente 20 Prozent der vollen Invalidenrente, auf die der Versicherte Anspruch gehabt hÃ¤tte. Der Anspruch auf Hinterlassenenleistungen entsteht mit dem Tode des Versicherten, frÃ¼hestens jedoch mit Beendigung der vollen Lohnfortzahlung (Art. 22 Abs. 1 BVG). Der Anspruch der Leistungen fÃ¼r Waisen erlischt mit dem Tode des Waisen oder mit Vollendung des 18. Altersjahres (Abs. 3). Er besteht jedoch bis zur Vollendung des 25. Altersjahres fÃ¼r Kinder bis zum Abschluss der Ausbildung (lit. a).</w:t>
      </w:r>
    </w:p>
    <w:p>
      <w:r>
        <w:t>4.2.2Â Â  GemÃ¤ss Art. 37 Abs. 1 BVG werden Alters-, Hinterlassenen- und Invalidenrenten in der Regel als Rente ausgerichtet. Die Vorsorgeeinrichtung kann in ihrem Regelement vorsehen (Abs. 4), dass die Anspruchsberechtigten eine Kapitalabfindung an Stelle einer Alters-, Hinterlassenen- oder Invalidenrente wÃ¤hlen kÃ¶nnen (lit. a) und die Anspruchsberechtigten eine bestimmte Frist fÃ¼r die Geltendmachung der Kapitalabfindung einhalten mÃ¼ssen (lit. b).</w:t>
      </w:r>
    </w:p>
    <w:p>
      <w:r>
        <w:t>4.3Â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 bei Allgemeinen GeschÃ¤fts- oder Versicherungsbedingungen zu beachten, insbesondere die Unklarheits- und die UngewÃ¶hnlichkeitsregel (BGE 132 V 150 Erw. 5, 130 V 81 Erw. 3.2.2, 122 V 146 Erw. 4c).</w:t>
      </w:r>
    </w:p>
    <w:p>
      <w:r>
        <w:rPr>
          <w:b/>
        </w:rPr>
        <w:t>E. 5.1</w:t>
      </w:r>
    </w:p>
    <w:p>
      <w:r>
        <w:t>5.1.1Â Â  Laut Reglement 2005 der Pensionskasse MOBIL, Erster Teil Vorsorgeplan BB, Ziff. 3, C Todesfall, wird die Rente fÃ¼r den Ã¼berlebenden Ehegatten fÃ¤llig, wenn die verheiratete versicherte Person stirbt. Im Ãbrigen richtet sich die Anspruchsberechtigung nach Ziff. 5.1.1.4 der Allgemeinen Bestimmungen. Stirbt die versicherte Person vor Erreichen des Pensionsalters, so betrÃ¤gt die Ehegattenrente 60 % der gesetzlichen Invalidenrente. Stirbt die versicherte Person nach Erreichen des Pensionsalters, so betrÃ¤gt die Ehegattenrente 60 % der laufenden Altersrente. Eine Waisenrente wird fÃ¤llig, wenn eine versicherte Person stirbt und anspruchsberechtigte Kinder hinterlÃ¤sst. Die HÃ¶he der Waisenrente entspricht pro Kind 20 % der Invalidenrente. Alsdann enthÃ¤lt dieselbe Ziffer Bestimmungen zum Todesfallkapital. Dieses wird fÃ¤llig, wenn die versicherte Person vor Erreichen des Pensionsalters stirbt. Die HÃ¶he des Todesfallkapitals entspricht dem Altersguthaben, wie es am Ende des Todesjahres vorhanden gewesen wÃ¤re, soweit dieses Altersguthaben nicht zur Mitfinanzierung einer Ehegattenrente oder einer entsprechenden Abfindung benÃ¶tigt wird. Der Anspruch auf das Todesfallkapital richtet sich nach Ziff. 5.1.1.5.2 der Allgemeinen Bestimmungen (Urk. 7/13 S. 4 f.).</w:t>
      </w:r>
    </w:p>
    <w:p>
      <w:r>
        <w:t>5.1.2Â Â  GemÃ¤ss Reglement der Pensionskasse MOBIL, Zweiter Teil; Allgemeine Bestimmungen (in Kraft getreten am 1. Januar 2005, Urk. 7/12 S. 3 f. und S. 26) wird die Rente fÃ¼r den Ã¼berlebenden Ehegatten unter anderem (vorbehÃ¤ltlich Ziff. 5.1.2.2) fÃ¤llig, wenn der Verstorbene im Zeitpunkt des Todes versichert war (lit. a). Der Ã¼berlebende Ehegatte hat Anspruch auf eine Ehegattenrente, wenn er beim Tod des Ehegatten: fÃ¼r den Unterhalt mindestens eines Kindes aufkommen muss (lit. a); oder Ã¤lter als 45 Jahre ist und die Ehe mindestens fÃ¼nf Jahre gedauert hat (lit. b). Der Ehegatte, der weder die Voraussetzungen nach lit. a noch nach lit. b erfÃ¼llt, hat Anspruch auf eine einmalige Abfindung in HÃ¶he von drei Jahresrenten (Ziff. 5.1.1.4.1). GemÃ¤ss Ziff. 5.1.1.4.2 richtet sich die HÃ¶he fÃ¼r den Ã¼berlebende Ehegatten nach den Bestimmungen in Ziff. 3 C des Vorsorgeplanes. Alsdann bestehen Sonderregelungen zur RentenkÃ¼rzung bei gewissen Altersdifferenzen zwischen Ã¼berlebendem Ehegatten und versicherter Person, bei Wiederverheiratung der versicherten Person und Sonderbestimmungen fÃ¼r geschiedene Personen (Ziff. 5.1.1.4.2 und Ziff. 5.1.1.4.3). Sofern gemÃ¤ss dem Vorsorgeplan ein Todesfallkapital versichert ist, wird dieses fÃ¤llig, wenn die versicherte Person vor Erreichen des Pensionsalters stirbt (Ziff. 5.1.1.5.1). Anspruch auf das Todesfallkapital haben die nachstehend aufgefÃ¼hrten Hinterlassenen in folgendem Ausmass und folgender Rangordnung; auf das volle Todeskapital der Ã¼berlebende Ehegatte; bei dessen Fehlen: die rentenberechtigten Kinder gemÃ¤ss Ziff. 5.1.1.6; bei dessen Fehlen werden alsdann weitere Personen aufgezÃ¤hlt (Ziff. 5.1.1.5.2). Die HÃ¶he des Todesfallkapitals richtet sich nach Ziff. 3 C des Vorsorgeplanes (Ziff. 5.1.1.5.3). Die Kinderrenten werden (vorbehÃ¤ltlich Ziff. 5.1.2.2, VerhÃ¤ltnis zu anderen Versicherungsleistungen) unter anderem wie folgt fÃ¤llig: Waisenrenten, wenn die versicherte Person stirbt und Kinder im Sinne von Ziff. 5.1.1.6.3 hinterlÃ¤sst (Ziff. 5.1.1.6.1). Anspruch auf Waisenrenten hat die Waise (Ziff. 5.1.1.6.2). Ziff. 5.1.1.6.3 definiert die Kinder, worunter unter anderem die leiblichen Kinder fallen. Die Kinderrenten werden bis zum vollendeten 18. Altersjahr bzw. bis zum vorherigen Tode des Kindes ausbezahlt. Der Anspruch auf Rentenzahlung besteht Ã¼ber das 18. Altersjahr des Kindes hinaus, wenn sich das Kind unter anderem noch in Ausbildung befinden: bis zum Abschluss derselben, lÃ¤ngstens jedoch bis zur Vollendung des 25. Altersjahres (Ziff. 5.1.1.6.3). Die HÃ¶he der Kinderrenten richtet sich nach Ziff. 3 des Vorsorgeplanes (Ziff. 5.1.1.6.4, Urk. 7/12 S. 10-12).</w:t>
      </w:r>
    </w:p>
    <w:p>
      <w:r>
        <w:t>5.2Â Â Â Â  Laut dem persÃ¶nlichen Ausweis per 1. Januar 2005 (Plan Inv. BB, BVG-Vorsorge) bestand bei einem versicherten Lohn von Fr. 77'363.-- Anspruch auf eine jÃ¤hrliche Ehegattenrente von Fr. 11'581.--, ein Todesfallkapital (zusÃ¤tzlich zur Ehegattenrente) von Fr. 18'313.-- bzw. von Fr. 267'039.-- wenn keine Ehegattenrente fÃ¤llig wird, und Anspruch auf eine jÃ¤hrliche Waisenrente von Fr. 3'860.-- (Urk. 23/5). Der persÃ¶nliche Ausweis (Inv. BF, vorobligatorische Vorsorge) per 1. Januar 2005 weist ein Todesfallkapital von Fr. 50'978.-- aus (Urk. 23/6). Der Berechnung der Alterskapitalien per 8. Februar 2005 (Urk. 23/4) ist zu entnehmen, dass per 1. Juli 2006 aus dem Vertrag 10035 ein Alterskapital von Fr. 271'855.-- und aus dem Vertrag 30035 per 31. Dezember 2005 ein solches von Fr. 50'978.-- bestand. Aus dem Schreiben der AXA Winterthur vom 10. Dezember 2007 geht hervor, dass es sich beim Vertrag 10035 um die BVG-Vorsorge und beim Vertrag 30035 um die weitergehende Vorsorge (ehemals vorobligatorische Vorsorge) handelt (Urk. 23/3).</w:t>
      </w:r>
    </w:p>
    <w:p>
      <w:r>
        <w:t>6.Â Â Â Â Â Â  Der Ehegatte der KlÃ¤gerin als versicherte Person starb am 8. Februar 2005 an akutem Herztod (Urk. 7/6). Er war zu diesem Zeitpunkt bei der A.___ Center (Suisse) SA angestellt (Urk. 7/7). BezÃ¼glich der Meldung des Todesfalles zu HÃ¤nden der Pensionskasse MOBIL vom 31. MÃ¤rz 2005 (Urk. 7/6) und des Austrittsformulars des bisherigen Arbeitsgebers vom 22. Februar 2005 (Urk. 7/7) bestehen insofern Ungereimtheiten, als die zustÃ¤ndige Sachbearbeiterin der Pensionskasse auf der Meldung des Todesfalles vermerkte, die versicherte Person sei vollbeschÃ¤ftigt, indessen seit Ende Juni 2004 krank geschrieben gewesen, und als Bemerkung "IV-Rentner" festhielt. Aufgrund des Austrittsformulars bleibt alsdann unklar, ob die versicherte Person aus gesundheitlichen GrÃ¼nden arbeitsunfÃ¤hig geworden war, sind doch beide KÃ¤stchen (ja und nein) angekreuzt. Nachdem die KlÃ¤gerin aber Hinterlassenenleistungen eingeklagt hat, kann auf Weiterungen bezÃ¼glich des Eintritts einer InvaliditÃ¤t der versicherten Person verzichtet werden, zumal bei einem Eintritt der ArbeitsunfÃ¤higkeit Ende Juni 2004 bis zum Todestag noch kein Jahr verstrichen war und daher keine rentenbegrÃ¼ndende InvaliditÃ¤t hatte eintreten kÃ¶nnen (vgl. Art. 29 des Bundesgesetzes Ã¼ber die Invalidenversicherung [IVG] in Verbindung mit Art. 23 lit. a BVG). Fest steht indessen, dass die versicherte Person zum Todeszeitpunkt im 64. Alterjahr war und am 1. Juli 2006 das RÃ¼cktrittsalter erreicht hÃ¤tte (vgl. Urk. 2/8). Zu diesem Zeitpunkt war die KlÃ¤gerin 59 Jahre alt und mit der versicherten Person seit 33 Jahren verheiratet. Der Sohn der KlÃ¤gerin stand damals rund vier Monate vor dem Erreichen des 18. Altersjahres (Urk. 7/6).</w:t>
      </w:r>
    </w:p>
    <w:p>
      <w:r>
        <w:rPr>
          <w:b/>
        </w:rPr>
        <w:t>E. 7</w:t>
      </w:r>
    </w:p>
    <w:p>
      <w:r>
        <w:t>7.1Â Â Â Â  Aus den Akten erhellt, dass der KlÃ¤gerin per 1. Mai 2005 nach dem Auslaufen der Lohnzahlungen seitens des Arbeitgebers ihres verstorbenen Ehemannes (Art. 338 des Obligationenrechts [OR] in Verbindung mit Art. 22 Abs. 1 BVG, vgl. Urk. 2/2 unten und Urk. 7/6) Leistungen ausgerichtet wurden, wie sie in den Vorsorgeausweisen per 1. Januar 2005 vorgesehen sind (Urk. 23/5 und Urk. 23/6). Danach erhielt sie aus der BVG-Vorsorge (Urk. 2/2), mithin der obligatorischen beruflichen Vorsorge (Vertrag 10035), in Nachachtung von Ziff. 5.1.1.4.1 des zum Todeszeitpunkt gÃ¼ltigen Reglements (Ausgabe 2005) eine jÃ¤hrliche Ehegattenrente in der HÃ¶he von Fr. 11'581.--, nachdem sie die Bedingungen fÃ¼r deren Auszahlung erfÃ¼llt, nÃ¤mlich fÃ¼r den Unterhalt des Sohnes B.___ aufkommen musste und sie zudem Ã¤lter als 45 Jahre war und die Ehe mehr als fÃ¼nf Jahre gedauert hatte. Hinzu kam aus demselben Vertrag die Auszahlung der jÃ¤hrlichen Waisenrente fÃ¼r den Sohn B.___, gestÃ¼tzt auf Ziff. 5.1.1.6 des Reglements. Entsprechend der Abrechnungsperiode vom 1. Mai bis zum 30. Juni 2005 gelangten Fr. 1'930.15 fÃ¼r die KlÃ¤gerin selbst und fÃ¼r den Sohn Fr. 643.35 zur Auszahlung. Aus dem Vertrag 10035 folgte alsdann die Auszahlung eines einmaligen Todesfallkapitals (zusÃ¤tzlich zur Ehegattenrente) gemÃ¤ss Ziff. 5.1.1.5 des Reglements. Dieses belief sich auf Fr. 18'313.--. Dessen HÃ¶he richtete sich nach Ziff. 3 C des Vorsorgeplanes. Es hÃ¤tte dem Altersguthaben entsprochen, wie es am Ende des Todesjahres vorhanden gewesen wÃ¤re, mithin gemÃ¤ss Berechnungen der Beklagten Fr. 267'044.-- betragen (Altersguthaben Ende Jahr 2005, Urk. 23/4), hÃ¤tte es gemÃ¤ss Ziff. 3 C des Vorsorgeplanes nicht zur Finanzierung der gemÃ¤ss Reglement geschuldeten Ehegattenrente herangezogen werden mÃ¼ssen.</w:t>
      </w:r>
    </w:p>
    <w:p>
      <w:r>
        <w:t>7.2Â Â Â Â  Aus der vorobligatorischen Vorsorge (Vertrag 30035) wurde zudem ein einmaliges Todesfallkapital von Fr. 50'978.-- ausbezahlt, zusammengesetzt aus der am 25. Mai 2005 erfolgten Auszahlung von Fr. 50'043.15 (Urk. 2/2) zuzÃ¼glich der Nachzahlung von Fr. 934.85 vom 8. Juni 2006 (Urk. 7/11). Auch diese Leistung entspricht dem persÃ¶nlichen Ausweis per 1. Januar 2005 (Urk. 23/6). Sie setzte sich zusammen aus einem Altersguthaben und Verzinsungen (Urk. 23/4). Dabei handelt es sich offenbar um Leistungen, die auf vor Bestehen des BVG-Obligatoriums per 1985 geÃ¤ufneten Kapitalien beruhen.</w:t>
      </w:r>
    </w:p>
    <w:p>
      <w:r>
        <w:t>7.3Â Â Â Â  Die Auszahlungen sind gesetzes- und reglementskonform erfolgt. Die einzelnen BetrÃ¤ge werden von der KlÃ¤gerin denn auch nicht in Zweifel gezogen. In Bezug auf das Todesfallkapital von Fr. 18'313.-- (aus dem Vertrag 10035) handelt es sich dabei gemÃ¤ss den nachvollziehbaren AusfÃ¼hrungen der Beklagten um die Differenz zwischen dem kapitalisierten Wert der Witwenrente und dem vorhandenen Guthaben (Urk. 22). Weiterer AbklÃ¤rungsbedarf besteht daher nicht. Dies gilt umso mehr, als die KlÃ¤gerin im Rahmen des zweiten Schriftenwechsels zu den ergÃ¤nzenden Unterlagen der Beklagten mit den detaillierten Berechnungen nicht Stellung genommen hat und sie insbesondere - mehrfach dargelegt - etwas ganz anderes will. Sie will und verlangt nÃ¤mlich (Urk. 1, Urk. 2/3 und Urk. 2/5) eine Kapitalabfindung anstelle von Hinterlassenenrenten, wie dies in Art. 37 Abs. 4 BVG vorgesehen ist. Die Abfindung mittels Kapital scheitert im vorliegenden Fall indessen daran, dass das hier zur Anwendung gelangende Reglement, wie in Art. 37 Abs. 4 lit. a BVG vorausgesetzt, die Kapitalabfindung nicht vorsieht. In einem solchen Fall wÃ¼rde die HÃ¶he der Kapitalauszahlung dem kapitalisierten Wert der Rente und nicht dem vorhandenen Altersguthaben entsprechen (Stauffer, a.a.O., S. 250 Rz 671).</w:t>
      </w:r>
    </w:p>
    <w:p>
      <w:r>
        <w:t>8.Â Â Â Â Â Â  Was die KlÃ¤gerin in ihrer Klage gegen die zur Auszahlung gelangten Leistungen vorbringt, Ã¼berzeugt nicht.</w:t>
      </w:r>
    </w:p>
    <w:p>
      <w:r>
        <w:t>8.1</w:t>
      </w:r>
    </w:p>
    <w:p>
      <w:r>
        <w:t>8.1.1Â Â  Das Sozialversicherungsrecht zeichnet sich durch hÃ¤ufige Ãnderungen aus. Gesetze und Verordnungen werden geÃ¤ndert, die Rechtsprechung klÃ¤rt offene Fragen und nicht zuletzt muss auch das oberste FÃ¼hrungsorgan auf Entwick-lungen bei den Versicherten und der Vorsorgeinrichtung reagieren. Letztlich fÃ¼hrt dies zu ReglementsÃ¤nderungen, wobei diese nicht rÃ¼ckwirkend erfolgen dÃ¼rfen. Kommt es zu Ãnderungen der Rechtsgrundlagen, stellen sich mit dem Ãbergang vom einen Recht zum andern zahlreiche Fragen, die gestÃ¼tzt auf allgemeine GrundsÃ¤tze, wie sie fÃ¼r das Verwaltungsrecht entwickelt wurden, zu beantworten sind. Von geringem Interesse fÃ¼r DestinatÃ¤re sind Ãnderungen, die ohne Auswirkungen auf BeitrÃ¤ge und Leistungen sind. Ebenso wenig stellen sich fÃ¼r DestinatÃ¤re Probleme bei ReglementsÃ¤nderungen, die auf eine Leistungsverbesserung im weitesten Sinne hinauslaufen. Zahlreiche Probleme stellen sich jedoch bei Ãnderungen, die in den Beitrags- oder Leistungsbereich eingreifen und die finanzielle oder rechtliche Stellung der DestinatÃ¤re verschlechtern. In diesem Zusammenhang wird von wohlerworbenem Recht, Besitzstand oder Anwartschaft gesprochen. In der beruflichen Vorsorge ist fÃ¼r die Auswirkungen der Institute des wohlerworbenen Rechts, des Besitzstandes und der Anwartschaft zwischen dem Obligatoriumsbereich und der weitergehenden Vorsorge zu unterscheiden. Im Obligatoriumsbereich gelangen unmittelbar die gesetzlichen Vorschriften zur Anwendung, auf reglementarischer Ebene werden diese weiter ausgefÃ¼hrt. Kommt es zu einem Eingriff in Leistungen oder Anwartschaften, so beruhen diese auf einer gesetzlichen Grundlage. In jenen Bereichen, wo im Obligatoriumsbereich auf eine reglementarische Regelung verwiesen wird, wie dies beispielsweise fÃ¼r den Kapitalbezug der Fall ist (Art. 37 Abs. 4 BVG), erfolgt eine ReglementsÃ¤nderung gemÃ¤ss der in Art. 50 Abs. 1 BVG der Vorsorgeeinrichtung eingerÃ¤umten Kompetenz zum Erlass solcher Bestimmungen. Das Reglement ist somit einseitig abÃ¤nderbar (Stauffer, a.a.O., S. 506 ff. Rz 1344 ff.).</w:t>
      </w:r>
    </w:p>
    <w:p>
      <w:r>
        <w:t>8.1.2Â Â  Soweit die KlÃ¤gerin sinngemÃ¤ss geltend macht, die Beklagte habe ihr Reglement zum Nachteil der KlÃ¤gerin abgeÃ¤ndert, ist festzuhalten, dass im Zeitpunkt des Eintritts des Versicherungsfalles (Tod der versicherten Person am 8. Februar 2005) das in den Akten liegende Reglement galt, welches am 1. Januar 2005 in Kraft getreten war. Dies grÃ¼ndet auf der Maxime, dass bei einer Ãnderung gesetzlicher Vorschriften grundsÃ¤tzlich diejenigen materiellen RechtssÃ¤tze massgeblich sind, die bei der ErfÃ¼llung des zu Rechtsfolgen fÃ¼hrenden Tatbestandes Geltung haben. Dieser allgemeine Ã¼bergangsrechtliche Grundsatz gilt auch im Bereich der beruflichen Vorsorge, namentlich bei Reglements- und StatutenÃ¤nderungen (BGE 127 V 309 Erw. 3b S. 314 mit Hinweisen). So sind beispielweise bei der Festsetzung von Invalidenleistungen die Reglementsbestimmungen massgebend, welche im Zeitpunkt der Entstehung des Leistungsanspruchs gelten und nicht jene, die bei Beginn der - in der Folge invalidisie-renden - ArbeitsunfÃ¤higkeit (vgl. Art. 23, Art. 26 Abs. 1 BVG) in Kraft waren (BGE 121 V 97). Eine Abweichung hievon mÃ¼sste sich aus den Ãbergangsbestimmungen des alten oder des neuen Vorsorgereglementes oder aber daraus ergeben, dass nach den Reglementsbestimmungen der Zeitpunkt der Entstehung des Leistungsanspruchs mit dem Eintritt der ArbeitsunfÃ¤higkeit zusammenfÃ¤llt. Alsdann wÃ¤re die Beklagte, sollte das Reglement aus dem Jahr 1995 (Urk. 2/3 S. 2) wirklich anders gelautet haben, was vorliegend gerade nicht zutrifft, wie dem am 18. MÃ¤rz 2008 eingereichten Reglement zu entnehmen ist (Urk. 23/7), im Bereich von Art. 37 Abs. 4 BVG befugt (vgl. Ziff. 5.4.3.1), das Reglement einseitig abzuÃ¤ndern, worauf sie zu Recht hinweist (Urk. 15 S. 2). Im Zeitpunkt des Eintritts des Versicherungsfalles galten alsdann die in Ziff. 4.2.1 und Ziff. 4.2.2 erwÃ¤hnten gesetzlichen Bestimmungen.</w:t>
      </w:r>
    </w:p>
    <w:p>
      <w:r>
        <w:t>8.2Â Â Â Â Â Â Â Â  Unbeachtlich haben vor diesem Ergebnis alsdann die RÃ¼gen der KlÃ¤gerin zu bleiben, sie lebe aufgrund der Nichtauszahlung des Todesfallkapitals unter dem Existenzminimum und sie vermÃ¶ge ihrem Sohn nicht die notwendige finanzielle UnterstÃ¼tzung angedeihen zu lassen. In diesem Zusammenhang wies die Beklagte zu Recht auf den Zweckartikel des BVG, Art. 1 Abs. 1, hin, wonach die berufliche Vorsorge alle Massnahmen auf kollektiver Basis umfasst, welche unter anderem den Hinterbliebenen beim Eintritt eines Versicherungsfalls zusammen mit den Leistungen der eidgenÃ¶ssischen Alters-, Hinterlassenen- und Invalidenversicherung (AHV/IV) die Fortsetzung der gewohnten Lebenshaltung in angemessener Weise erlaubt.</w:t>
      </w:r>
    </w:p>
    <w:p>
      <w:r>
        <w:t>8.3Â Â Â Â Â Â Â Â  Zusammenfassend ist die Klage daher abzuweisen.</w:t>
      </w:r>
    </w:p>
    <w:p>
      <w:r>
        <w:t>9.Â Â Â Â Â Â</w:t>
      </w:r>
    </w:p>
    <w:p>
      <w:r>
        <w:t>9.1</w:t>
      </w:r>
    </w:p>
    <w:p>
      <w:r>
        <w:t>9.1.1Â Â  Das Klageverfahren vor dem kantonalen Gericht ist in der Regel kostenlos (Art. 73 Abs. 2 BVG). Mit der Kostenfreiheit im Sozialversicherungsrecht soll der oft schwÃ¤cheren Partei die MÃ¶glichkeit eingerÃ¤umt werden, ihre Rechte oder AnsprÃ¼che auf Leistungen der Sozialversicherung, gegen einen Ã¶ffentlich-rechtliche Aufgaben wahrnehmenden Sozialversicherer gerichtlich durchzusetzen. Dieser Grundsatz findet auch im Bereich der beruflichen Vorsorge Anwendung. Eine Ausnahme ist nur dort vorzunehmen, wo eine mutwillige oder leichtsinnige ProzessfÃ¼hrung vorliegt. Leichtsinnige oder mutwillige ProzessfÃ¼hrung kann vorliegen, wenn eine Partei Tatsachen wider besseres Wissen als wahr behauptet oder ihre Stellungnahme auf einen Sacherhalt abstÃ¼tzt, von dem sie bei der ihr zumutbaren Sorgfalt wissen mÃ¼sste, dass er unrichtig ist. Ebenso kann auch das Festhalten an einer offensichtlich gesetzwidrigen Auffassung Mutwilligkeit darstellen (Stauffer, Rechtsprechung des Bundesgerichts zur beruflichen Vorsorge, 2.A., Art. 73 Ziff. 7.6). Leichtsinnige oder mutwillige ProzessfÃ¼hrung liegt aber so lange nicht vor, als es der Partei darum geht, einen bestimmten, nicht als willkÃ¼rlich erscheinenden Standpunkt durch den Richter beurteilen zu lassen. Das gilt selbst dann, wenn der Richter die Partei im Laufe des Verfahrens von der Unrichtigkeit ihres Standpunktes Ã¼berzeugen und zu einem entsprechenden Verhalten (KlagerÃ¼ckzug) veranlassen will. Die Erhebung eines aussichtslosen Rechtsmittels darf einer leichtsinnigen oder mutwilligen ProzessfÃ¼hrung nicht gleichgesetzt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vernunftgemÃ¤ssen Ãberlegung ohne weiteres erkennen konnte, den Prozess aber trotzdem fÃ¼hrt (vgl. BGE 128 V 323).</w:t>
      </w:r>
    </w:p>
    <w:p>
      <w:r>
        <w:t>9.1.2Â Â  FÃ¼r die Beklagte mÃ¶gen die in diversen Eingaben gleichlautenden Vorbringen und das Beharren der KlÃ¤gerin auf ihrer Position Ã¤rgerlich sein. Als leichtsinniges oder mutwilliges Prozessieren kann dieses Verhalten indessen noch nicht qualifiziert werden, zumal aus den Akten hervorgeht, dass weder die KlÃ¤gerin noch ihr Rechtsvertreter die deutsche Sprache gut beherrschen. Im Ãbrigen brachten erst die Unterlagen, welche das Gericht bei der Beklagten edierte, Klarheit Ã¼ber die AnsprÃ¼che der KlÃ¤gerin.</w:t>
      </w:r>
    </w:p>
    <w:p>
      <w:r>
        <w:t>9.2Â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Vorliegend besteht kein Anlass, von diesen GrundsÃ¤tzen abzuweichen, weshalb der Beklagten keine ParteientschÃ¤digung zuzusprechen ist.</w:t>
      </w:r>
    </w:p>
    <w:p>
      <w:r>
        <w:t>Das Gericht erkennt:</w:t>
      </w:r>
    </w:p>
    <w:p>
      <w:r>
        <w:t>1.Â Â Â Â Â Â Â Â  Die Klage wird abgewiesen.</w:t>
      </w:r>
    </w:p>
    <w:p>
      <w:r>
        <w:t>2.Â Â Â Â Â Â Â Â  Das Verfahren ist kostenlos.</w:t>
      </w:r>
    </w:p>
    <w:p>
      <w:r>
        <w:t>3.Â Â Â Â Â Â Â Â  Der Beklagten wird keine ParteientschÃ¤digung zugesprochen.</w:t>
      </w:r>
    </w:p>
    <w:p>
      <w:r>
        <w:t>4.Â Â Â Â Â Â Â Â Â Â  Zustellung gegen Empfangsschein an:</w:t>
      </w:r>
    </w:p>
    <w:p>
      <w:r>
        <w:t>- proparis Vorsorge-Stiftung Gewerbe Schweiz</w:t>
      </w:r>
    </w:p>
    <w:p>
      <w:r>
        <w:t>- H.___</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