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BV.2006.00171 vom 30. März 2008</w:t>
      </w:r>
    </w:p>
    <w:p>
      <w:r>
        <w:t>ZH Sozialversicherungsgericht, 2008-03-30, DE</w:t>
      </w:r>
    </w:p>
    <w:p>
      <w:r>
        <w:rPr>
          <w:b/>
        </w:rPr>
        <w:t xml:space="preserve">Quelle: </w:t>
      </w:r>
      <w:r>
        <w:t>https://mcp.opencaselaw.ch/entscheid/zh_sozialversicherungsgericht_BV.2006.00171</w:t>
      </w:r>
    </w:p>
    <w:p>
      <w:r>
        <w:t>FR: ZH_SOZIALVERSICHERUNGSGERICHT BV.2006.00171 du 30 mars 2008</w:t>
      </w:r>
    </w:p>
    <w:p>
      <w:r>
        <w:t>IT: ZH_SOZIALVERSICHERUNGSGERICHT BV.2006.00171 del 30 marzo 2008</w:t>
      </w:r>
    </w:p>
    <w:p>
      <w:pPr>
        <w:pStyle w:val="Heading2"/>
      </w:pPr>
      <w:r>
        <w:t>Erwägungen</w:t>
      </w:r>
    </w:p>
    <w:p>
      <w:r>
        <w:rPr>
          <w:b/>
        </w:rPr>
        <w:t>E. 3</w:t>
      </w:r>
    </w:p>
    <w:p>
      <w:r>
        <w:t>3.1Â Â Â Â  Im in Art. 73 BVG fÃ¼r den kantonalen Prozess Ã¼ber Streitigkeiten zwischen Vorsorgeeinrichtungen, Arbeitgebern und Anspruchsberechtigten - darunter auch Ã¼ber Beitragsstreitigkeiten, in denen sich wie vorliegend eine Vorsorgeeinrichtung und ein Arbeitgeber gegenÃ¼berstehen - vorgesehenen Ã¶ffentlichrechtlichen Klageverfahren stellt das Gericht den Sachverhalt von Amtes wegen fest (Art. 73 Abs. 2 BVG). Es gilt somit der Untersuchungsgrundsatz (BGE 115 V 113 Erw. 3d/bb; SZS 34/1990 S. 158 Erw. 3a, S. 268 Erw. 4a), der besagt, dass das Gericht von Amtes wegen fÃ¼r die richtige und vollstÃ¤ndige Feststellung des rechtserheblichen Sachverhalts zu sorgen hat (BGE 125 V 195 Erw. 2, 122 V 158 Erw. 1a; SZS 34/1999 S. 158, Erw. 3a). Dies bedeutet, dass in Bezug auf den rechtserheblichen Sachverhalt AbklÃ¤rungen vorzunehmen sind, wenn hierzu aufgrund der Parteivorbringen oder anderer sich aus den Akten ergebenden Anhaltspunkten hinreichender Anlass besteht (BGE 117 V 282 Erw. 4a; AHI 1994 S. 212 Erw. 4a; SVR 1999 IV Nr. 10 S. 28 Erw. 2c).</w:t>
      </w:r>
    </w:p>
    <w:p>
      <w:r>
        <w:t>Â Â Â Â Â Â Â Â  Der Untersuchungsgrundsatz wird beschrÃ¤nkt durch die Mitwirkungspflichten der Parteien (BGE 125 V 195 Erw. 2, 122 V 185 Erw. 1a; SZS 34/1990 S. 158 Erw. 3a). Zu diesen gehÃ¶rt im Klageverfahren Ã¼ber BeitrÃ¤ge der beruflichen Vorsorge die Substanziierungspflicht, welche beinhaltet, dass die wesentlichen Tatsachenbehauptungen und -bestreitungen in den Rechtsschriften enthalten sein mÃ¼ssen. Dementsprechend ist es einerseits Sache der klagenden Vorsorgeeinrichtung, die Beitragsforderung so weit zu substanziieren, dass sie Ã¼berprÃ¼ft werden kann; andererseits obliegt es der beklagten Arbeitgeberin, substanziiert darzulegen, weshalb und gegebenenfalls in welchen Punkten die eingeklagte Beitragsforderung unbegrÃ¼ndet bzw. unzutreffend ist (SVR 1994 BVG Nr. 2 S. 4 Erw. 3a/aa). Soweit die eingeklagte Forderung hinreichend substanziiert ist, bleiben unsubstanziierte Bestreitungen unberÃ¼cksichtigt (nicht publiziertes Urteil des EidgenÃ¶ssischen Versicherungsgerichts in Sachen R. vom 26. Juni 2000, B 60/98); demgegenÃ¼ber darf das Gericht eine Klage, soweit sie nicht hinreichend substanziiert und nachvollziehbar ist, trotz ungenÃ¼gend substanziierter oder gÃ¤nzlich fehlender Bestreitung nicht gutheissen (vgl. SVR 1994 Nr. 2 S. 3 Erw. 3; Urteil des EidgenÃ¶ssischen Versicherungsgerichts in Sachen H. vom 7. Mai 2001, B 76/99).</w:t>
      </w:r>
    </w:p>
    <w:p>
      <w:r>
        <w:t>3.2Â Â Â Â  Laut Ziffer 5.1.2 des Vorsorgereglements (Urk. 2/3) ist die HÃ¶he der JahresprÃ¤mie abhÃ¤ngig vom jeweiligen Tarifalter des Arbeitnehmers am Stichtag und von der HÃ¶he der versicherten Leistungen. Versicherte Leistungen sind ein Todesfallkapital und eine Invalidenrente sowie die Befreiung von Beitragszahlungen bei ErwerbsunfÃ¤higkeit (Ziffer 3.1.1 des Vorsorgereglements). Die Pflicht zur Bezahlung einer jÃ¤hrlichen KostenprÃ¤mie ist weder im Anschlussvertrag noch im Vorsorgereglement statuiert.</w:t>
      </w:r>
    </w:p>
    <w:p>
      <w:r>
        <w:t>Â Â Â Â Â Â Â Â  Weder dem Vorsorgereglement noch dem Anschlussvertrag kann entnommen werden, auf welcher konkreten Grundlage sich die PrÃ¤mien berechnen. Aus diesem Grund wurde der KlÃ¤gerin mit GerichtsverfÃ¼gung vom 3. April 2007 Gelegenheit gegeben darzulegen, auf welcher Grundlage die PrÃ¤mien berechnet worden sind und wie sich diese zusammensetzen (Urk. 10). Hierauf legte die KlÃ¤gerin die internen PrÃ¤mienaufteilungen der Jahre 2000 bis 2003 ins Recht, woraus die BetrÃ¤ge der RisikoprÃ¤mien fÃ¼r InvaliditÃ¤t, Todesfall, PrÃ¤mienbefreiung und Kosten ersichtlich sind (Urk. 16/1-4), und erklÃ¤rte hierzu (Urk. 15), die versicherten Leistungen wÃ¼rden mit den jeweils relevanten PrÃ¤miensÃ¤tzen des vom Bundesamt fÃ¼r Privatversicherung genehmigten Kollektivversicherungstarifs multipliziert. Die PrÃ¤miensÃ¤tze variierten in AbhÃ¤ngigkeit von verschiedenen Faktoren wie Alter, Geschlecht, Unfalldeckung, Branche etc., und jede TarifÃ¤nderung sei vom Bundesamt zu genehmigen. Statt dem Gericht die einzelnen PrÃ¤miensÃ¤tze der versicherten Personen bekannt zu geben, offerierte die KlÃ¤gerin als Beweis die Einholung eines Gutachtens zum Beispiel beim Bundesamt fÃ¼r Privatversicherung Ã¼ber die Genehmigung der vorliegend von ihr angewendeten PrÃ¤miensÃ¤tze sowie die Richtigkeit der Berechnung der PrÃ¤mien.</w:t>
      </w:r>
    </w:p>
    <w:p>
      <w:r>
        <w:t>3.3Â Â Â Â  Es kann nicht Aufgabe des Gerichts sein, im Rahmen eines kostenlosen Verfahrens die Richtigkeit der Berechnung der eingeklagten PrÃ¤mien durch ein Gutachten bestÃ¤tigen zu lassen. Vielmehr ist es Sache der KlÃ¤gerin, die Klage nachvollziehbar zu begrÃ¼nden und dem Gericht die PrÃ¤miensÃ¤tze, auf welche sie ihre Forderung stÃ¼tzt, bekannt zu geben, damit die PrÃ¤mienhÃ¶he nachvollzogen werden kann. Dies hat die KlÃ¤gerin trotz Aufforderung dazu unterlassen, weshalb die Klage ungenÃ¼gend substanziiert ist.</w:t>
      </w:r>
    </w:p>
    <w:p>
      <w:r>
        <w:t>3.4Â Â Â Â  Schliesslich trifft es nicht zu, dass die Beklagten die Berechnung der PrÃ¤mien nicht bestritten hÃ¤tten. Der Beklagte 2 hat in seiner Klageantwort vom 2. Februar 2007 (Urk. 7) geltend gemacht, es sei fÃ¼r ihn nicht nachvollziehbar, weshalb eine Risikoversicherung fÃ¼r InvaliditÃ¤t und Tod und dergleichen jedes Jahr zu einer anderen PrÃ¤mienhÃ¶he fÃ¼hre. Damit hat er sinngemÃ¤ss die PrÃ¤mienberechnung sehr wohl bestritten.</w:t>
      </w:r>
    </w:p>
    <w:p>
      <w:r>
        <w:t>4.Â Â Â Â Â Â  Zusammenfassend ergibt sich, dass die eingeklagte Forderung nicht substanziiert ist, was zur Abweisung der Klage fÃ¼hrt.</w:t>
      </w:r>
    </w:p>
    <w:p>
      <w:r>
        <w:t>Das Gericht erkennt:</w:t>
      </w:r>
    </w:p>
    <w:p>
      <w:r>
        <w:t>1.Â Â Â Â Â Â Â Â  Die Klage wird abgewiesen.</w:t>
      </w:r>
    </w:p>
    <w:p>
      <w:r>
        <w:t>2.Â Â Â Â Â Â Â Â  Das Verfahren ist kostenlos.</w:t>
      </w:r>
    </w:p>
    <w:p>
      <w:r>
        <w:t>3.Â Â Â Â Â Â Â Â  Zustellung gegen Empfangsschein an:</w:t>
      </w:r>
    </w:p>
    <w:p>
      <w:r>
        <w:t>- L.___</w:t>
      </w:r>
    </w:p>
    <w:p>
      <w:r>
        <w:t>- Z.___</w:t>
      </w:r>
    </w:p>
    <w:p>
      <w:r>
        <w:t>- RechtsanwÃ¤ltin Isabelle Brunner Schwander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