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BV.2006.00123 vom 8. August 2007</w:t>
      </w:r>
    </w:p>
    <w:p>
      <w:r>
        <w:t>ZH Sozialversicherungsgericht, 2007-08-08, DE</w:t>
      </w:r>
    </w:p>
    <w:p>
      <w:r>
        <w:rPr>
          <w:b/>
        </w:rPr>
        <w:t xml:space="preserve">Quelle: </w:t>
      </w:r>
      <w:r>
        <w:t>https://mcp.opencaselaw.ch/entscheid/zh_sozialversicherungsgericht_BV.2006.00123</w:t>
      </w:r>
    </w:p>
    <w:p>
      <w:r>
        <w:t>FR: ZH_SOZIALVERSICHERUNGSGERICHT BV.2006.00123 du 8 août 2007</w:t>
      </w:r>
    </w:p>
    <w:p>
      <w:r>
        <w:t>IT: ZH_SOZIALVERSICHERUNGSGERICHT BV.2006.00123 del 8 agosto 2007</w:t>
      </w:r>
    </w:p>
    <w:p>
      <w:pPr>
        <w:pStyle w:val="Heading2"/>
      </w:pPr>
      <w:r>
        <w:t>Erwägungen</w:t>
      </w:r>
    </w:p>
    <w:p>
      <w:r>
        <w:rPr>
          <w:b/>
        </w:rPr>
        <w:t>E. 4</w:t>
      </w:r>
    </w:p>
    <w:p>
      <w:r>
        <w:t>4.1Â Â Â Â  Im Weiteren bleibt zu prÃ¼fen, ob die Beklagte bei der Zusprechung der RentenerhÃ¶hungen um insgesamt 50 % zu Recht von den Grundwerten bei AuflÃ¶sung des ArbeitsverhÃ¤ltnisses ausgegangen ist.</w:t>
      </w:r>
    </w:p>
    <w:p>
      <w:r>
        <w:t>4.2Â Â Â Â Â Â Â Â  RechtsprechungemÃ¤ss stellt eine revisionsrechtliche Verschlechterung keinen neuen Versicherungsfall dar. Bei der Bemessung des vorsorgerechtlichen Vollrentenbetreffnisses ist daher konsequenterweise auf dieselben Berechnungsgrundlagen abzustellen, anhand deren bereits die HÃ¶he der seinerzeitigen Teilrente ermittelt wurde. Im Ergebnis bedeutet dies nichts anderes als eine Verdoppelung des nominalen, noch nicht gemÃ¤ss Art. 36 Abs. 1 BVG teuerungsangepassten vorsorgerechtlichen Teilrentenbetreffnisses (vgl. Dr. Markus Moser, Bedeutung und Tragweite von Art. 23 BVG - Versuch einer Bestandesaufnahme anhand der jÃ¼ngeren Rechtsprechung, in: SZS 1995, 420 f.). Die Beklagte ist daher zu Recht von den Grundwerten und dem zuletzt versicherten Verdienst des KlÃ¤gers ausgegangen. Nichts daran zu verÃ¤ndern vermag die Tatsache, dass das wieder in Rechnung zu ziehende Altersguthaben von der Bank K.___ zwischenzeitlich verzinst worden ist. Da die Leistungen zudem - wie von der Beklagten Ã¼berzeugend dargelegt - im Ã¼berobligatorischen Bereich liegen, ist keine obligatorische Rentenverbesserung auszurichten, da die Bestimmung Ã¼ber den Teuerungsausgleich nach Art. 36 Abs. 1 BVG lediglich eine Mindestvorschrift darstellt, welche eine umhÃ¼llende Vorsorgeeinrichtung erfÃ¼llt, sofern sie den Nachweis erbringen kann, dass sie an Invalide Leistungen ausrichtet, die mindestens gleich hoch sind wie die gesetzlichen Mindestleistungen zuzÃ¼glich Teuerungszulagen (BGE 127 V 267 E. 4). Der gewÃ¤hrte Teuerungsausgleich von 24,159 % wÃ¼rde zudem die inflationsbedingte Anpassung auf dem Gesamtbetreffnis abdecken, weshalb das Vorgehen der Beklagten auch aus diesem Gesichtspunkt nicht zu beanstanden ist. Die Klage ist daher abzuweisen.</w:t>
      </w:r>
    </w:p>
    <w:p>
      <w:r>
        <w:t>Das Gericht erkennt:</w:t>
      </w:r>
    </w:p>
    <w:p>
      <w:r>
        <w:t>1.Â Â Â Â Â Â Â Â  Die Klage wird abgewiesen.</w:t>
      </w:r>
    </w:p>
    <w:p>
      <w:r>
        <w:t>2.Â Â Â Â Â Â Â Â  Das Verfahren ist kostenlos.</w:t>
      </w:r>
    </w:p>
    <w:p>
      <w:r>
        <w:t>3.Â Â Â Â Â Â Â Â Â Â  Zustellung gegen Empfangsschein an:</w:t>
      </w:r>
    </w:p>
    <w:p>
      <w:r>
        <w:t>- L.___</w:t>
      </w:r>
    </w:p>
    <w:p>
      <w:r>
        <w:t>- C.___ Personalversicherung</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