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BV.2006.00101 vom 14. November 2007</w:t>
      </w:r>
    </w:p>
    <w:p>
      <w:r>
        <w:t>ZH Sozialversicherungsgericht, 2007-11-14, DE</w:t>
      </w:r>
    </w:p>
    <w:p>
      <w:r>
        <w:rPr>
          <w:b/>
        </w:rPr>
        <w:t xml:space="preserve">Quelle: </w:t>
      </w:r>
      <w:r>
        <w:t>https://mcp.opencaselaw.ch/entscheid/zh_sozialversicherungsgericht_BV.2006.00101</w:t>
      </w:r>
    </w:p>
    <w:p>
      <w:r>
        <w:t>FR: ZH_SOZIALVERSICHERUNGSGERICHT BV.2006.00101 du 14 novembre 2007</w:t>
      </w:r>
    </w:p>
    <w:p>
      <w:r>
        <w:t>IT: ZH_SOZIALVERSICHERUNGSGERICHT BV.2006.00101 del 14 novembre 2007</w:t>
      </w:r>
    </w:p>
    <w:p>
      <w:pPr>
        <w:pStyle w:val="Heading2"/>
      </w:pPr>
      <w:r>
        <w:t>Erwägungen</w:t>
      </w:r>
    </w:p>
    <w:p>
      <w:r>
        <w:rPr>
          <w:b/>
        </w:rPr>
        <w:t>E. 1</w:t>
      </w:r>
    </w:p>
    <w:p>
      <w:r>
        <w:t>1.1Â Â Â Â  Die Beklagte ist eine nicht registrierte PersonalfÃ¼rsorgeeinrichtung im Sinne von Art. 89 bis des Zivilgesetzbuches (ZGB). Ihre GrÃ¼ndung beruht auf dem Gesamtarbeitsvertrag fÃ¼r den flexibeln AltersrÃ¼cktritt im Bauhauptgewerbe (GAV FAR; Urk. 8/2), der zwischen dem Schweizerischen Baumeisterverband (SBV) einerseits und der Gewerkschaft Bau &amp; Industrie (GBI; heute: Unia) sowie der Gewerkschaft SYNA andererseits am 12. November 2002 geschlossen wurde und am 1. Juli 2003 in Kraft trat. Mit Bundesratsbeschluss vom 5. Juni 2003 ist der GAV FAR fÃ¼r allgemeinverbindlich erklÃ¤rt worden (Urk. 8/4).</w:t>
      </w:r>
    </w:p>
    <w:p>
      <w:r>
        <w:t>1.2Â Â Â Â  Dieser Gesamtarbeitsvertrag soll den ihm unterstellten Arbeitnehmern laut Art. 12 GAV FAR zwischen vollendetem 60. Altersjahr und dem ordentlichen AHV-Alter den AltersrÃ¼cktritt ermÃ¶glichen und finanziell abfedern.</w:t>
      </w:r>
    </w:p>
    <w:p>
      <w:r>
        <w:t>Â Â Â Â Â Â Â Â  Der GAV FAR wurde auf unbestimmte Zeit geschlossen, kann aber jeweils auf den 30. Juni eines Jahres durch die Vertragsparteien unter Einhaltung einer Frist von 6 Monaten mit eingeschriebenem Brief gekÃ¼ndigt werden, zum ersten Mal per 30. Juni 2008 (Art. 29 GAV FAR). Nebst der Umschreibung des Geltungsbereichs werden im GAV FAR unter anderem auch die Finanzierung des flexiblen AltersrÃ¼cktritts sowie die von der Stiftung als Vollzugsorgan zu erbringenden Leistungen festgelegt, und die entsprechenden gesamtarbeitsvertraglichen Bestimmungen wurden in das gleichzeitig mit dem GAV FAR in Kraft getretene Stiftungsreglement (Reglement FAR) vom 4. Juli 2003 (Urk. 2/3 S. 14 ff.) Ã¼berfÃ¼hrt. Dieses regelt den freiwilligen vorzeitigen AltersrÃ¼cktritt fÃ¼r die letzten fÃ¼nf Jahre vor dem ordentlichen AHV-Alter und dessen Finanzierung. Es sieht fÃ¼r diese Ãbergangsjahre eine finanzielle Abfederung in Form von ÃberbrÃ¼ckungsrenten, Ersatz von AHV-BeitrÃ¤gen und von Altersgutschriften BVG, zeitlich beschrÃ¤nkte ErgÃ¤nzungen der Witwen-, Witwer- und Waisenrenten sowie HÃ¤rtefallersatzleistungen vor, die sich an den vorhandenen Mitteln auszurichten haben (Art. 1 und 12 Reglement FAR).</w:t>
      </w:r>
    </w:p>
    <w:p>
      <w:r>
        <w:t>1.3Â Â Â Â  Strittig ist der Anspruch des KlÃ¤gers auf eine ÃberbrÃ¼ckungsrente gemÃ¤ss Art. 16 GAV FAR bzw. Art. 15 des Reglements FAR. Aufgrund von Art. 89 bis Abs. 6 Ziff. 19 ZGB in Verbindung mit Â§ 2 Abs. 2 lit. a des Gesetzes Ã¼ber das Sozialversicherungsgericht (GSVGer) ist das hiesige Gericht zur Behandlung seiner Klage sachlich zustÃ¤ndig.</w:t>
      </w:r>
    </w:p>
    <w:p>
      <w:r>
        <w:rPr>
          <w:b/>
        </w:rPr>
        <w:t>E. 2</w:t>
      </w:r>
    </w:p>
    <w:p>
      <w:r>
        <w:t>2.1Â Â Â Â  Laut Art. 13 Abs. 1 des Reglements FAR kann der Arbeitnehmende eine ÃberbrÃ¼ckungsrente beanspruchen, wenn er kumulativ das 60. Altersjahr - vorbehÃ¤ltlich Art. 36 Abs. 1 - vollendet hat (lit. a), das ordentliche AHV-Alter noch nicht erreicht hat (lit. b), wÃ¤hrend mindestens 15 Jahren innerhalb der letzten 20 Jahre und davon die letzten sieben Jahre vor dem Leistungsbezug ununterbrochen in einem Betrieb gemÃ¤ss Geltungsbereich GAV FAR gearbeitet hat (lit. c) und die ErwerbstÃ¤tigkeit definitiv aufgibt (lit. d).</w:t>
      </w:r>
    </w:p>
    <w:p>
      <w:r>
        <w:t>Nach der Ãbergangsbestimmung von Art. 36 Abs. 1 des Reglements FAR gilt wÃ¤hrend der EinfÃ¼hrungsphase - unter Vorbehalt von Art. 10 (weitere Massnahmen zur Sicherung des Finanzbedarfs) - die RÃ¼cktrittsmÃ¶glichkeit mit vollendetem 63. Altersjahr erstmals ab dem Inkrafttreten des Reglements, mit vollendetem 62. Altersjahr im Jahre 2004, mit vollendetem 61. Altersjahr im Jahre 2005 und mit vollendetem 60. Altersjahr im Jahre 2006.</w:t>
      </w:r>
    </w:p>
    <w:p>
      <w:r>
        <w:t>2.2Â Â Â Â  Strittig ist vorliegend in erster Linie die Frage, ob die Voraussetzung von Art. 13 Abs. 1 lit. c Reglement FAR erfÃ¼llt ist, d.h. ob der KlÃ¤ger in den letzten sieben Jahren vor dem Leistungsbezug ununterbrochen in einem Betrieb gemÃ¤ss Geltungsbereich GAV FAR gearbeitet hat. Unbestrittenermassen ist die A.___ Bauunternehmung AG dem GAV FAR unterstellt, wÃ¤hrend dies bei der A.___ Beton AG nicht der Fall ist. Zu prÃ¼fen ist dabei insbesondere, ob die Beklagte mit ihrem Schreiben vom 28. November 2003, mit welchem sie dem KlÃ¤ger mitgeteilt hat, dass er dem GAV FAR unterstellt sei, eine Vertrauensgrundlage geschaffen hat, auf die sich der KlÃ¤ger berufen kann.</w:t>
      </w:r>
    </w:p>
    <w:p>
      <w:r>
        <w:rPr>
          <w:b/>
        </w:rPr>
        <w:t>E. 3</w:t>
      </w:r>
    </w:p>
    <w:p>
      <w:r>
        <w:t>3.1Â Â Â Â  Nach stÃ¤ndiger Rechtsprechung erfolgt die Auslegung der VorsorgevertrÃ¤ge nach dem Vertrauensprinzip. Es ist darauf abzustellen, wie die zur Streitigkeit Anlass gebende WillenserklÃ¤rung vom EmpfÃ¤nger in guten Treuen verstanden werden durfte und musste. Dabei ist nicht auf den inneren Willen des ErklÃ¤renden abzustellen, sondern auf den objektiven Sinn seines ErklÃ¤rungsverhaltens. Der ErklÃ¤rende hat gegen sich gelten zu lassen, was ein vernÃ¼nftiger und korrekter Mensch unter der ErklÃ¤rung verstehen durfte. Weiter sind die besonderen Auslegungsregeln bei Allgemeinen GeschÃ¤fts- oder Versicherungsbedingungen zu beachten, insbesondere die Unklarheits- und die UngewÃ¶hnlichkeitsregel (BGE 132 V 150 Erw. 5, 130 V 81 Erw. 3.2.2, 122 V 146 Erw. 4c).</w:t>
      </w:r>
    </w:p>
    <w:p>
      <w:r>
        <w:t>3.2Â Â Â Â  In Art. 2 GAV FAR wird aufgezÃ¤hlt, welche Betriebe dem GAV FAR unterstellt sind. WÃ¤hrend die A.___ Bauunternehmung AG nach Art. 2 Abs. 1 lit. a GAV FAR eindeutig unterstellt ist, trifft dies auf die A.___ Beton AG nicht zu. BezÃ¼glich des persÃ¶nlichen Geltungsbereichs hÃ¤lt Art. 3 Abs. 1 GAV FAR fest, er gelte fÃ¼r Arbeitnehmer (unabhÃ¤ngig ihrer EntlÃ¶hnungsart und ihres Anstellungsortes), welche auf Baustellen und in Hilfsbetrieben der Baubetriebe nach Art. 2 tÃ¤tig sind. Die im Falle des KlÃ¤gers interessierenden Fragen, ob auch die faktische Arbeit fÃ¼r einen unterstellten Betrieb bei formaler Anstellung und EntlÃ¶hnung durch einen nicht unterstellten Betrieb genÃ¼gt bzw. ob ein nicht unterstellter Betrieb als Hilfsbetrieb angesehen werden kann, werden dagegen durch den GAV FAR bzw. durch das Reglement FAR nicht beantwortet. Es ist dabei der Beklagten zuzugestehen, dass sie im Interesse einer rechtsgleichen Anwendung der vertraglichen bzw. reglementarischen Bestimmungen gewisse einheitliche Auslegungen vornimmt, wie sie dies beispielsweise bezÃ¼glich des Begriffs "Leitendes Personal" in einem Merkblatt festgehalten hat (vgl. Urk. 8/6/2). Ausserdem ist der Stiftungsrat gemÃ¤ss Art. 24 Abs. 3 GAV FAR ausdrÃ¼cklich zum Erlass der fÃ¼r die Umsetzung notwendigen Reglemente befugt.</w:t>
      </w:r>
    </w:p>
    <w:p>
      <w:r>
        <w:t>3.3Â Â Â Â  Gerade weil der KlÃ¤ger und die A.___ Bauunternehmung AG wissen wollten, wie die Beklagte die Bestimmungen in diesem konkreten Fall auszulegen gedenkt, richteten sie ihre Anfrage vom 7. August 2003 (Urk. 2/7) an die Beklagte. Es trifft zwar zu, dass die Art der TÃ¤tigkeit in diesem Schreiben nicht genau festgehalten wird, entgegen der Ansicht der Beklagten kann aber von widersprÃ¼chlichen Angaben nicht die Rede sein, und bezÃ¼glich des AnstellungsverhÃ¤ltnisses wird unmissverstÃ¤ndlich und eindeutig ausgefÃ¼hrt, dass der KlÃ¤ger bei der dem GAV FAR nicht unterstellten A.___ Beton AG angestellt sei, er jedoch faktisch zu rund 50 % auch als Werkhofchef fÃ¼r die dem GAV FAR unterstellte A.___ Bauunternehmung AG arbeite. Dass die Beklagte von der Tatsache, dass der KlÃ¤ger formell in jenem Zeitpunkt ausschliesslich bei der A.___ Beton AG angestellt war, erst durch den Beizug des Auszugs aus dem individuellen Konto des KlÃ¤gers vom 25. Oktober 2005 (Urk. 8/7) erfahren haben will, trifft somit nicht zu. Aus dem Umstand, dass die Beklagte in der Folge lediglich noch Zweifel darÃ¼ber Ã¤usserte, ob die Art der TÃ¤tigkeit eine Unterstellung des KlÃ¤gers zulasse - strittig war insbesondere die Frage, ob der KlÃ¤ger eine leitende Funktion ausÃ¼be -, durfte der KlÃ¤ger schliessen, dass die Art des AnstellungsverhÃ¤ltnisses einer Unterstellung nicht entgegensteht.</w:t>
      </w:r>
    </w:p>
    <w:p>
      <w:r>
        <w:t>3.4Â Â Â Â  Ob es gerechtfertigt erscheint, bei einem Prokuristen von der nicht widerlegbaren Vermutung auszugehen, dass er Ã¼ber Weisungs- und Leitungsbefugnisse verfÃ¼gt, erscheint angesichts der Tatsache, dass der Erteilung der Prokura primÃ¤r Aussenwirkung zukommt und Ã¼ber die effektiven internen Befugnisse damit nichts ausgesagt wird, als fraglich, spielt vorliegend aber keine Rolle, da die Beklagte dem KlÃ¤ger nicht kund getan hat, dass ein Prokurist keinesfalls dem GAV FAR unterstellt werden kÃ¶nne. Vielmehr hat die Beklagte in ihrem Schreiben vom 11. August 2003 (Urk. 2/8) lediglich erwÃ¤hnt, dass nicht dem GAV FAR unterstellt sei, wer Weisungs- und Leitungsbefugnisse innerhalb der Unternehmung ausÃ¼be, was der KlÃ¤ger mit dem Hinweis, dass er nur einen Mitarbeiter unter sich habe und nicht Ã¼ber mehr Weisungsbefugnisse als die ausdrÃ¼cklich dem GAV FAR unterstellten Poliere und Werkmeister verfÃ¼ge, glaubhaft verneinte. Dass der KlÃ¤ger Prokurist der A.___ Beton AG gewesen ist, wÃ¤re im Ãbrigen durch Einsichtnahme ins Handelsregister ohne Weiteres zu erfahren gewesen. Es trifft zwar zu, dass der KlÃ¤ger im Formular am 6. Juli 2005 (Urk. 8/6/1) angab, er Ã¼be gemÃ¤ss Merkblatt (Urk. 8/6/2) keine leitende Funktion aus, obwohl im - ihm zwischenzeitlich von der Beklagten abgegebenen - Merkblatt Prokuristen ausdrÃ¼cklich als zum leitenden Personal gehÃ¶rend bezeichnet werden. Dem KlÃ¤ger war jedoch von der Beklagten am 28. November 2003 (Urk. 2/12) bereits ausdrÃ¼cklich zugesichert worden, dass er als Werkmeister gelte und damit nicht unter leitendes Personal falle, ohne dass die Beklagte dem KlÃ¤ger damals das offenbar erst im August 2004 erstellte Merkblatt vorgewiesen hÃ¤tte. Es kann unter diesen UmstÃ¤nden nachvollzogen werden, dass der KlÃ¤ger auf dem Formular angegeben hat, dass er nicht zum leitenden Personal gehÃ¶re. Dies gilt umso mehr, als er davon ausgehen durfte, seine faktische TÃ¤tigkeit fÃ¼r die A.___ Bauunternehmung AG sei fÃ¼r die Unterstellung unter den GAV FAR massgebend, bei welcher der KlÃ¤ger nicht Prokurist gewesen ist. Im Ãbrigen musste der KlÃ¤ger auch nicht davon ausgehen, dass die Beklagte diese Voraussetzung bei der Anmeldung noch ein Mal neu Ã¼berprÃ¼fen werde. Dass die Bezahlung der FAR-BeitrÃ¤ge keine Garantie dafÃ¼r ist, dass auch wirklich eine Rente gesprochen werden kann, trifft wohl zu. Der KlÃ¤ger hat die BeitrÃ¤ge indessen nicht einfach so bezahlt, sondern nachdem die Beklagte ihm ausdrÃ¼cklich zugesichert hat, dass er dem GAV FAR unterstellt sei.</w:t>
      </w:r>
    </w:p>
    <w:p>
      <w:r>
        <w:t>3.5Â Â Â Â  Insgesamt durfte der KlÃ¤ger somit in guten Treuen davon ausgehen, dass Art. 3 Abs. 1 GAV FAR so auszulegen ist, dass seine zwischen 1994 und 2003 bestehende Anstellungssituation eine Unterstellung unter den GAV FAR zulÃ¤sst. Die Beklagte hat ihm diese Auskunft nach verschiedenen AbklÃ¤rungen schliesslich vorbehaltlos erteilt und damit seine zuvor vorhandenen Zweifel ausgerÃ¤umt. Mit dem Hinweis, dass der KlÃ¤ger das Schreiben vom 28. November 2003 (Urk. 2/12) aufbewahren und beim Einreichen des Leistungsanspruchs die Berufsbezeichnung Werkmeister angeben solle, damit zu diesem Zeitpunkt keine Unklarheiten auftrÃ¤ten, hat sie die Verbindlichkeit der Auskunft sogar noch ausdrÃ¼cklich betont. Der KlÃ¤ger musste nicht damit rechnen, dass diese Voraussetzung anlÃ¤sslich seiner Anmeldung von neuem Ã¼berprÃ¼ft wird. Indem die Beklagte bei der Geltendmachung des Leistungsanspruchs plÃ¶tzlich auf Auslegungen des Vertrages (mitunter gestÃ¼tzt auf ein offenbar erst im Jahre 2004 erstelltes Merkblatt) verweist, welche sie dem KlÃ¤ger bis dahin nicht bekannt gegeben und mit denen dieser nicht zu rechnen hatte, verhÃ¤lt sie sich wider Treu und Glauben. Die strittige Frage, wie der GAV FAR objektiv korrekt auszulegen ist, muss vorliegend nicht geprÃ¼ft werden, da der KlÃ¤ger aufgrund der entsprechenden Aussage der Beklagten subjektiv davon ausgehen kann, dass er in dem von ihm geltend gemachten Sinne auszulegen ist. Dass die Beklagte eine entsprechende Vertrauensgrundlage geschaffen hat, hat sie selbst anerkannt, indem sie dem KlÃ¤ger eine EntschÃ¤digungszahlung von Fr. 50'000.-- angeboten hat (Urk. 2/20).</w:t>
      </w:r>
    </w:p>
    <w:p>
      <w:r>
        <w:t>4.Â Â Â Â Â Â  Zusammenfassend ist daher in Gutheissung der Klage die Beklagte zu verpflichten, die dem KlÃ¤ger gemÃ¤ss GAV FAR bzw. Reglement FAR zustehenden Leistungen, insbesondere eine ordentliche ÃberbrÃ¼ckungsrente im Sinne von Art. 16 GAV FAR bzw. Art. 15 Reglement FAR, ab dem 1. Januar 2006 auszurichten.Â</w:t>
      </w:r>
    </w:p>
    <w:p>
      <w:r>
        <w:t>5.Â Â Â Â Â Â  Stellt die obsiegende Partei einen entsprechenden Antrag oder ist dies von andern Gesetzen so vorgesehen, verpflichtet das Gericht die unterliegende Partei zum Ersatz der Parteikosten (Â§ 34 Abs. 1 des Gesetzes Ã¼ber das Sozialversicherungsgericht [GSVGer]). Die HÃ¶he der gerichtlich festzusetzenden EntschÃ¤digung bemisst sich nach der Bedeutung der Streitsache, der Schwierigkeit des Prozesses und dem Mass des Obsiegens, jedoch ohne RÃ¼cksicht auf den Streitwert (Â§ 34 Abs. 3 GSVGer).</w:t>
      </w:r>
    </w:p>
    <w:p>
      <w:r>
        <w:t>Â Â Â Â Â Â Â Â  Unter WÃ¼rdigung aller UmstÃ¤nde erscheint vorliegend die Zusprechung einer ProzessentschÃ¤digung an den KlÃ¤ger von Fr. 2'800.-- (inkl. MWSt und Barauslagen) als angemessen.</w:t>
      </w:r>
    </w:p>
    <w:p>
      <w:r>
        <w:t>Das Gericht erkennt:</w:t>
      </w:r>
    </w:p>
    <w:p>
      <w:r>
        <w:t>1.Â Â Â Â Â Â Â Â  In Gutheissung der Klage wird die Beklagte verpflichtet, die dem KlÃ¤ger gemÃ¤ss GAV FAR bzw. Reglement FAR zustehenden Leistungen, insbesondere eine ordentliche ÃberbrÃ¼ckungsrente im Sinne von Art. 16 GAV FAR bzw. Art. 15 Reglement FAR, ab dem 1. Januar 2006 auszurichten.</w:t>
      </w:r>
    </w:p>
    <w:p>
      <w:r>
        <w:t>2.Â Â Â Â Â Â Â Â  Das Verfahren ist kostenlos.</w:t>
      </w:r>
    </w:p>
    <w:p>
      <w:r>
        <w:t>3.Â Â Â Â Â Â Â Â  Die Beklagte wird verpflichtet, dem KlÃ¤ger eine ProzessentschÃ¤digung von Fr. 2'800.-- (inkl. Barauslagen und MWSt) zu bezahlen.</w:t>
      </w:r>
    </w:p>
    <w:p>
      <w:r>
        <w:t>4.Â Â Â Â Â Â Â Â  Zustellung gegen Empfangsschein an:</w:t>
      </w:r>
    </w:p>
    <w:p>
      <w:r>
        <w:t>- Stiftung fÃ¼r den flexiblen AltersrÃ¼cktritt im Bauhauptgewerbe (FAR) unter Beilage des Doppels von Urk. 24</w:t>
      </w:r>
    </w:p>
    <w:p>
      <w:r>
        <w:t>- FÃ¼rsprecher Marc DÃ¼bendorfer</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