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BV.2006.00092 vom 15. August 2007</w:t>
      </w:r>
    </w:p>
    <w:p>
      <w:r>
        <w:t>ZH Sozialversicherungsgericht, 2007-08-15, DE</w:t>
      </w:r>
    </w:p>
    <w:p>
      <w:r>
        <w:rPr>
          <w:b/>
        </w:rPr>
        <w:t xml:space="preserve">Quelle: </w:t>
      </w:r>
      <w:r>
        <w:t>https://mcp.opencaselaw.ch/entscheid/zh_sozialversicherungsgericht_BV.2006.00092</w:t>
      </w:r>
    </w:p>
    <w:p>
      <w:r>
        <w:t>FR: ZH_SOZIALVERSICHERUNGSGERICHT BV.2006.00092 du 15 août 2007</w:t>
      </w:r>
    </w:p>
    <w:p>
      <w:r>
        <w:t>IT: ZH_SOZIALVERSICHERUNGSGERICHT BV.2006.00092 del 15 agosto 2007</w:t>
      </w:r>
    </w:p>
    <w:p>
      <w:pPr>
        <w:pStyle w:val="Heading2"/>
      </w:pPr>
      <w:r>
        <w:t>Erwägungen</w:t>
      </w:r>
    </w:p>
    <w:p>
      <w:r>
        <w:rPr>
          <w:b/>
        </w:rPr>
        <w:t>E. 2</w:t>
      </w:r>
    </w:p>
    <w:p>
      <w:r>
        <w:t>2.1Â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bzw. dessen Allgemeine Versicherungsbedingungen (AVB) dar, denen sich der Versicherte ausdrÃ¼cklich oder durch konkludentes Verhalten unterzieht (BGE 132 V 150 Erw. 5, 129 V 147 Erw. 3.1, 127 V 306 Erw. 3a). Dies schliesst nicht aus, dass im Einzelfall auch vom Reglement abweichende Abreden getroffen werden kÃ¶nnen. Allerdings bedarf es hiefÃ¼r einer entsprechenden Vereinbarung zwischen der Vorsorgeeinrichtung und dem versicherten Arbeitnehmer (BGE 131 V 28 Erw. 2.1, 122 V 145 Erw. 4b).</w:t>
      </w:r>
    </w:p>
    <w:p>
      <w:r>
        <w:t>2.2Â Â Â Â</w:t>
      </w:r>
    </w:p>
    <w:p>
      <w:r>
        <w:t>2.2.1Â Â  GemÃ¤ss Art. 23 des Schweizerischen Obligationenrechts (OR) ist der Vertrag fÃ¼r denjenigen unverbindlich, der sich beim Abschluss in einem wesentlichen Irrtum befunden hat.</w:t>
      </w:r>
    </w:p>
    <w:p>
      <w:r>
        <w:t>2.2.2Â Â Â Â Â Â Â Â  Wesentlich ist ein Irrtum unter anderem dann, wenn er einen bestimmten Sachverhalt betraf, der vom Irrenden nach Treu und Glauben im GeschÃ¤ftsverkehr als eine notwendige Grundlage des Vertrages betrachtet wurde (Art. 24 Abs. 1 Ziff. 4 OR). Die gesetzliche Umschreibung des Grundlagenirrtums (Art. 24 Abs. 1 Ziff. 4 OR) enthÃ¤lt zwei qualifizierende Merkmale, die kumulativ erfÃ¼llt sein mÃ¼ssen. Es handelt sich dabei um ein subjektives und ein objektives Merkmal (BGE 118 II 62): Das subjektive Merkmal betrifft den Irrenden. Es besteht darin, dass der Irrende den irrtÃ¼mlich vorgestellten Sachverhalt im Zeitpunkt des Vertragsabschlusses als eine "notwendige Grundlage des Vertrages" betrachtete. Das bedeutet: FÃ¼r den Irrenden bildet der vorgestellte Sachverhalt eine "conditio sine qua non" und damit eine "unerlÃ¤ssliche Voraussetzung" dafÃ¼r, dass er den Vertrag Ã¼berhaupt oder mit dem betreffenden Inhalt abschliesst (BGE 95 II 409; 95 III 23, vgl. Gauch/Schluep/Schmid/Rey, Schweizerisches Obligationenrecht, Allgemeiner Teil, Band I, 8. Auflage, ZÃ¼rich 2003, S. 158 Rz 779). Das objektive Merkmal besteht darin, dass der Irrende den vorgestellten Sachverhalt "nach Treu und Glauben im GeschÃ¤ftsverkehr" als eine notwendige Grundlage des Vertrages betrachten darf (BGE 118 II 62 und 301, vgl. Gauch/Schluep/Schmid/ Rey, a.a.O., S. 159 Rz 783).</w:t>
      </w:r>
    </w:p>
    <w:p>
      <w:r>
        <w:t>2.2.3Â Â  Ist ein Vertragsschliessender durch absichtliche TÃ¤uschung seitens des andern zu dem Vertragsabschluss verleitet worden, so ist der Vertrag fÃ¼r ihn auch dann nicht verbindlich, wenn der erregte Irrtum kein wesentlicher war (Art. 28 Abs. 1 OR). Die von einem Dritten verÃ¼bte absichtliche TÃ¤uschung hindert die Verbindlichkeit fÃ¼r den GetÃ¤uschten nur, wenn der andere zur Zeit des Vertragsabschlusses die TÃ¤uschung gekannt hat oder hÃ¤tte kennen sollen (Art. 28 Abs. 2 OR).</w:t>
      </w:r>
    </w:p>
    <w:p>
      <w:r>
        <w:t>2.2.4Â Â  Wenn der durch Irrtum oder TÃ¤uschung beeinflusste Teil binnen Jahresfrist weder dem anderen erÃ¶ffnet, dass er den Vertrag nicht halte, noch eine schon erfolgte Leistung zurÃ¼ckfordert, so gilt der Vertrag als genehmigt (Art. 31 Abs. 1 OR). Die Frist beginnt in den FÃ¤llen des Irrtums und der TÃ¤uschung mit der Entdeckung (Art. 31 Abs. 2 OR).</w:t>
      </w:r>
    </w:p>
    <w:p>
      <w:r>
        <w:t>2.2.5Â Â  GemÃ¤ss Art. 7 Abs. 1 des Reglements haben versicherte Personen bzw. deren Hinterlassene jederzeit wahrheitsgetreu Auskunft Ã¼ber die fÃ¼r die Personalvorsorge massgebenden VerhÃ¤ltnisse zu erteilen und die zur BegrÃ¼ndung von AnsprÃ¼chen auf Versicherungsleistungen erforderlichen Unterlagen einzureichen.</w:t>
      </w:r>
    </w:p>
    <w:p>
      <w:r>
        <w:t>2.3Â Â Â Â  So wie die BegÃ¼nstigten ihren Anspruch gegenÃ¼ber einer Lebensversicherungsgesellschaft aus eigenem Recht (iure proprio) und nicht aus Erbrecht (iure hereditatis) erwerben (Art. 78 VVG ; BGE 112 II 159 Erw. 1a), haben die Anspruchsberechtigten im Todesfall der versicherten Person auch bei der im vorliegenden Fall BGE 131 V 27 S. 30 interessierenden ausserobligatorischen beruflichen Vorsorge einen eigenen Anspruch gegen die Vorsorgeeinrichtung. Dieser basiert auf einem echten Vertrag zu Gunsten Dritter im Sinne von Art. 112 Abs. 2 OR (und entsprechend fallen die Leistungen des VorsorgetrÃ¤gers nicht in die Erbmasse; BGE 129 III 307 Erw. 2.2, 116 V 222 Erw. 2, je mit Hinweisen).</w:t>
      </w:r>
    </w:p>
    <w:p>
      <w:r>
        <w:t>2.4Â Â Â Â  Ehegatten und Kinder der verstorbenen Person sowie von der verstorbenen Person zur Hauptsache unterstÃ¼tzte Personen haben in dieser Reihenfolge unabhÃ¤ngig vom Erbrecht - unter Vorbehalt einschrÃ¤nkender gesetzlicher Bestimmungen - Anspruch auf das volle Todesfallkapital, welches fÃ¤llig wird, wenn die versicherte Person vor dem Altersrentenbeginn stirbt (Art. 19 Abs. 1 und 2 des Reglements).</w:t>
      </w:r>
    </w:p>
    <w:p>
      <w:r>
        <w:t>2.5Â Â Â Â  GemÃ¤ss Art. 13 Abs. 1 des Regelements hat die versicherte Person - unter Vorbehalt von Abs. 3 und 4 - Anspruch auf eine lebenslÃ¤ngliche Altersrente, wenn sie das RÃ¼cktrittsalter (Art. 4 Abs. 2) erlebt. Das RÃ¼cktrittsalter wird bei Frauen am Monatsersten erreicht, der auf die Vollendung des 62. Altersjahres folgt (Art. 4 Abs. 2 des Regelements).</w:t>
      </w:r>
    </w:p>
    <w:p>
      <w:r>
        <w:t>2.6Â Â Â Â  Laut Art. 1 des Bundesgesetzes zur Weiterversicherung von erwerbstÃ¤tigen Frauen in der beruflichen Vorsorge vom 23. MÃ¤rz 2001 (BG zur Weiterversicherung von erwerbstÃ¤tigen Frauen), in Kraft seit 24. MÃ¤rz 2001, werden Frauen in der beruflichen Vorsorge, welche die Voraussetzungen von Artikel 7 Absatz 1 des Bundesgesetzes vom 25. Juni 1982 Ã¼ber die berufliche Alters-, Hinterlassenen- und Invalidenvorsorge (BVG) erfÃ¼llen, sowie nach Artikel 4 Absatz 1 BVG freiwillig versicherte erwerbstÃ¤tige Frauen abweichend von Artikel 13 Absatz 1 Buchstabe b BVG in der beruflichen Vorsorge weiter versichert, bis sie das ordentliche Rentenalter der AHV (Art. 21 Abs. 1 Bst. b des Bundesgesetzes vom 20. Dezember 1964 Ã¼ber die Alters- und Hinterlassenenversicherung [AHVG]) erreicht haben.</w:t>
      </w:r>
    </w:p>
    <w:p>
      <w:r>
        <w:rPr>
          <w:b/>
        </w:rPr>
        <w:t>E. 3</w:t>
      </w:r>
    </w:p>
    <w:p>
      <w:r>
        <w:t>3.1Â Â Â Â Â Â Â Â  Vorliegend streitig und zu prÃ¼fen ist, ob die KlÃ¤gerinnen einen Anspruch auf das Todesfallkapital gemÃ¤ss Art. 19 des Reglements haben. Dies ist dann der Fall, wenn der Anspruch der Versicherten auf Altersleistungen im Zeitpunkt von deren Ableben am 10. Oktober 2004 noch nicht begonnen hat.</w:t>
      </w:r>
    </w:p>
    <w:p>
      <w:r>
        <w:t>3.2Â Â Â Â  Die KlÃ¤gerinnen fÃ¼hrten zur BegrÃ¼ndung ihrer Klage (Urk. 1) aus, dass sich die Versicherte aufgrund der Heraufsetzung der AHV-Schlussalters entschlossen habe, bis zum Schlussalter 64 erwerbstÃ¤tig zu sein. Die Beklagte habe denn auch den Ausweis 2004 (Urk. 2/2) mit dem Vermerk "BG Weiterversicherung Frauen SL 64" ausgestellt und damit explizit Bezug genommen auf das Bundesgesetz zur Weiterversicherung von erwerbstÃ¤tigen Frauen in der beruflichen Vorsorge vom 23. MÃ¤rz 2001. Die Kapitaloption von Fr. 100'000 sei entsprechend der reglementarischen Bestimmung in Art. 13 Ziff. 5 drei Jahre vor dem Schlussalter (Alter 64) ausgeÃ¼bt worden. Durch das Ausstellen des Versicherungsausweises auf Schlussalter 64 und durch die Aufforderung zur Einreichung der Kapitaloption unter Einhaltung der dreijÃ¤hrigen Meldefrist sei somit erstellt, dass die Beklagte von einem VorsorgeverhÃ¤ltnis bis zum Erreichen der RÃ¼cktrittsalters im Alter 64 ausgegangen sei.</w:t>
      </w:r>
    </w:p>
    <w:p>
      <w:r>
        <w:t>Soweit sich die Beklagte auf die AusfÃ¼hrungen des Bundesamtes fÃ¼r Sozialversicherung (BSV) in den BSV-Mitteilungen Ã¼ber die berufliche Vorsorge Nr. 57 vom 29. Juni 2001, S. 9 Rz 351 Ziff. 4 berufe, wonach RisikofÃ¤lle, die vor der Vollendung des 62. Altersjahrs eingetreten sind, vom Weiterversicherungsgesetz nicht erfasst wÃ¼rden, sei dies unbehelflich, denn das Bundesgesetz zur Weiterversicherung von erwerbstÃ¤tigen Frauen in der beruflichen Vorsorge vom 23. MÃ¤rz 2001 (BG zur Weiterversicherung von erwerbstÃ¤tigen Frauen) enthalte eine solche EinschrÃ¤nkung nicht.</w:t>
      </w:r>
    </w:p>
    <w:p>
      <w:r>
        <w:t>Replicando ergÃ¤nzten die KlÃ¤gerinnen, die Beklagte habe nicht ausgefÃ¼hrt, worauf sie ihr Ansinnen, die Aufnahme in die Kategorie mit Schlussalter 64 rÃ¼ckgÃ¤ngig zu machen, grÃ¼nde. Dazu bestehe nÃ¤mlich keine gesetzliche oder reglementarische Bestimmung. Soweit sich die Beklage auf die Mitteilung Nr. 57 des BSV berufe, so habe das BSV klar und eindeutig festgestellt, dass es sich dabei bloss um eine subjektive MeinungsÃ¤usserung handle (Urk. 13 S. 3)</w:t>
      </w:r>
    </w:p>
    <w:p>
      <w:r>
        <w:t>Das Reglement der Beklagten sei seit dem 1. Januar 2000 gÃ¼ltig. Trotz der Heraufsetzung des Rentenalters Frauen per 1. Januar 2001 auf 63 und per 1. Januar 2005 auf 64 Jahre gehe das Reglement fÃ¤lschlicherweise immer noch vom Pensionsalter 62 aus. Die erwerbstÃ¤tigen Frauen hÃ¤tten Anspruch auf Weiterversicherung bis zum Schlussalter 64. Dabei handle es sich nicht um eine fakultative Versicherung, welche im Ermessen des Versicherers durchgefÃ¼hrt werde (Urk. 13 S. 3 f.)</w:t>
      </w:r>
    </w:p>
    <w:p>
      <w:r>
        <w:t>3.3Â Â Â Â  Die Beklagte hielt in der Klageantwort (Urk. 8) dagegen, dass sich das BG zur Weiterversicherung von erwerbstÃ¤tigen Frauen auf Art. 13 Abs. 1 lit. b BVG und somit auf das Obligatorium beziehe. DemgegenÃ¼ber finde das Gesetz keine Anwendung auf das reglementarische Schlussalter gemÃ¤ss Art. 13 Abs. 2 BVG. Bei der Leistung "Todesfallkapital" handle es sich per se um eine rein reglementarische Leistung. Demnach kÃ¶nne aber ein Anspruch nur dann entstehen, wenn die reglementarischen Voraussetzungen erfÃ¼llt seien. Nach Art. 21 Abs. 4 des Reglements (Reglement, Urk. 2/3) entstehe (bei einer ArbeitsunfÃ¤higkeit) nach einer Wartefrist von 3 Monaten Anspruch auf PrÃ¤mienbefreiung. Ab diesem Zeitpunkt wechsle der DestinatÃ¤r vom bisher aktiven zum passiven Status.</w:t>
      </w:r>
    </w:p>
    <w:p>
      <w:r>
        <w:t>Â Â Â Â Â Â Â Â  Selbst wenn im vorliegenden Fall das BG zur Weiterversicherung von erwerbstÃ¤tigen Frauen zur Anwendung gelangen wÃ¼rde und man - entgegen den BSV-Mitteilungen - nicht von der ArbeitsunfÃ¤higkeit, sondern von der ErwerbsunfÃ¤higkeit ausgehen mÃ¼sste, so sei der reglementarische Begriff der ErwerbsunfÃ¤higkeit gemÃ¤ss Art. 5 des Reglements anzuwenden. Danach entstehe der Leistungsfall InvaliditÃ¤t - im Gegensatz zu Art. 29 des Bundesgesetzes Ã¼ber die Invalidenversicherung (IVG) - bereits nach einer Wartefrist von 3 Monaten mit dem Anspruch auf PrÃ¤mienbefreiung.</w:t>
      </w:r>
    </w:p>
    <w:p>
      <w:r>
        <w:t>Â Â Â Â Â Â Â Â  In der Duplik (Urk. 16) fÃ¼hrte die Beklagte aus, im Bereich der weitergehenden Vorsorge werde das RechtsverhÃ¤ltnis zwischen der Vorsorgeeinrichtung und dem Vorsorgenehmer durch einen privatrechtlichen Vorsorgevertrag begrÃ¼ndet und unterstehe als Innominatvertrag den allgemeinen Bestimmungen des Bundesgesetzes Ã¼ber das Obligationenrechts (OR). FÃ¼r die Beklagte sei es bei der Aufnahme der Versicherten in die Kategorie "Schlussalter 64" eine Essentialia, dass diese effektiv Ã¼ber das reglementarische RÃ¼cktrittsalter hinaus arbeiten werde. Da die Versicherte im Zeitpunkt der Aufnahme bereits arbeitsunfÃ¤hig gewesen sei, habe sich die Beklagte in einem wesentlichen Irrtum gemÃ¤ss Art. 24 OR befunden und sei deshalb nach Art. 23 und 31 OR berechtigt gewesen, die Aufnahme der Versicherten in die Kategorie "Schlussalter 64" rÃ¼ckgÃ¤ngig zu machen. Die Vereinbarung sei somit ex tunc dahingefallen.</w:t>
      </w:r>
    </w:p>
    <w:p>
      <w:r>
        <w:t>Â Â Â Â Â Â Â Â  Da das BG zur Weiterversicherung von erwerbstÃ¤tigen Frauen keine Wirkungen auf reglementarische Bestimmungen habe, wÃ¤re vorliegend hÃ¶chstens eine Einzelabrede mÃ¶glich. Eine solche fÃ¼r eine Weiterversicherung sei erst am 17. Juni 2004 abgeschlossen worden. Damals habe die Beklagte jedoch nur zugestimmt, weil ihr die ArbeitsunfÃ¤higkeit der Versicherten verschwiegen worden sei.</w:t>
      </w:r>
    </w:p>
    <w:p>
      <w:r>
        <w:rPr>
          <w:b/>
        </w:rPr>
        <w:t>E. 4</w:t>
      </w:r>
    </w:p>
    <w:p>
      <w:r>
        <w:t>4.1Â Â Â Â  Vorab ist zu prÃ¼fen, ob das BG zur WeiterbeschÃ¤ftigung von erwerbstÃ¤tigen Frauen, welches von einem ordentlichen AHV-Alter von 64 Jahren ausgeht, auf den vorliegenden Fall anwendbar ist.</w:t>
      </w:r>
    </w:p>
    <w:p>
      <w:r>
        <w:t>4.2Â Â Â Â  Bei der Beklagten handelt es sich um eine sog. "umhÃ¼llende" Kasse, d.h. sie erbringt mehr als die im BVG vorgesehenen Mindestleistungen (Hans-Ulrich Stauffer, Berufliche Vorsorge, ZÃ¼rich 2005, S. 105 Rz 294). BezÃ¼glich der Leistungsbereiche, die Ã¼ber das BVG-Obligatorium hinausgehen, gelten nach Art. 49 Abs. 2 BVG nur die BVG-Vorschriften Ã¼ber die paritÃ¤tische Verwaltung, Verantwortlichkeit, Kontrollaufsicht, finanzielle Sicherheit, Rechtspflege usw. Nicht unter diese auch fÃ¼r umhÃ¼llende Kassen zwingend anwendbaren Vorschriften fÃ¤llt Art. 13 Abs. 1 BVG, wo fÃ¼r den Obligatoriumsbereich das ordentliche RÃ¼cktrittsalter MÃ¤nner 65 und Frauen 62 (heute 64) legiferiert ist (Abs. 1).</w:t>
      </w:r>
    </w:p>
    <w:p>
      <w:r>
        <w:t>Â Â Â Â Â Â Â Â  Da gemÃ¤ss Art. 4 Ziff. 2 des Reglements als Altersleistungen auslÃ¶sendes, ordentliches RÃ¼cktrittsalter bei Frauen das ZurÃ¼cklegen des 62. Altersjahres festgelegt ist, hat die Beklagte bezÃ¼glich des Beginns des Rentenalters in Abweichung von Art. 13 Abs. 1 BVG eine Ã¼berobligatorische Regelung getroffen. Das BG zur Weiterversicherung von erwerbstÃ¤tigen Frauen gelangt daher fÃ¼r die Beklagte nicht zur Anwendung, weshalb bis zu einer ReglementsÃ¤nderung als ordentliches RÃ¼cktrittsalter das ZurÃ¼cklegen des 62. Altersjahr gilt. Es erÃ¼brigt sich damit eine Auseinandersetzung mit der MeinungsÃ¤usserung des BSV zur Umsetzung des BG zur Weiterversicherung von erwerbstÃ¤tigen Frauen.</w:t>
      </w:r>
    </w:p>
    <w:p>
      <w:r>
        <w:rPr>
          <w:b/>
        </w:rPr>
        <w:t>E. 5</w:t>
      </w:r>
    </w:p>
    <w:p>
      <w:r>
        <w:t>5.1Â Â Â Â  Aus den Akten ergibt sich, dass sich die Versicherte und die Beklagte - auf entsprechendes Gesuch der Arbeitgeberin der Versicherten vom 17. Juni 2004 (Urk. 9/3) - auf einen AltersrÃ¼cktritt per 31. August 2006 und damit auf das "Schlussalter 64" geeinigt haben. Dies fand seinen Niederschlag im neu ausgestellten Versicherungsausweis vom 6. Juli 2004 (Urk. 9/3 und Urk. 2/2). Zu prÃ¼fen ist im Folgenden die GÃ¼ltigkeit dieser Vereinbarung.Â</w:t>
      </w:r>
    </w:p>
    <w:p>
      <w:r>
        <w:t>Â Â Â Â Â Â Â Â  Da - wie bereits erwÃ¤hnt - vorliegend sowohl das RÃ¼cktrittsalter (Erw. 4.2) als auch das eingeklagte Todesfallkapital ausschliesslich den Ã¼berobligatorischen Bereich der beruflichen Vorsorge beschlagen, kommen zur Beantwortung der strittigen Frage nach der GÃ¼ltigkeit der zur Verschiebung des RÃ¼cktrittsalters abgeschlossenen Vereinbarung zwischen der Versicherten und der Beklagten ausschliesslich privatrechtliche GrundsÃ¤tze, mithin das Obligationenrecht und dabei vorab die Bestimmungen Ã¼ber die WillenmÃ¤ngel (Erw. 2.2 f.), zur Anwendung.</w:t>
      </w:r>
    </w:p>
    <w:p>
      <w:r>
        <w:t>5.2Â Â Â Â  Am 26. MÃ¤rz 2004 hat die Versicherte ihre ArbeitstÃ¤tigkeit krankheitsbedingt niedergelegt und bis zu ihrem Tod am 10. Oktober 2004 auch nicht wieder aufgenommen (Urk. 9/5). Entsprechend hat PD Dr. A.___ in seinem Arztzeugnis vom 26. MÃ¤rz 2004 (Urk. 9/6) der Versicherten seither und bis auf Weiteres eine 100%ige ArbeitsunfÃ¤higkeit attestiert. Im Gegensatz dazu hat die Arbeitgeberin der Versicherten auf dem Formular zur Weiterversicherung vom 17. Juni 2004 explizit den Hinweis auf die WeiterbeschÃ¤ftigung der Versicherten gemacht (Urk. 9/3). Die am 6. Juli 2004 rÃ¼ckwirkend fÃ¼r das Jahr 2004 erfolgte Aufnahme in die Versicherungskategorie mit Schlussalter 64 erfolgte demnach ohne das Wissen der Beklagten um die bei der Versicherten bereits im MÃ¤rz 2004 eingetretene unheilbare Krankheit, welche die Ursache fÃ¼r die seither bestehende vollstÃ¤ndige ArbeitsunfÃ¤higkeit war und schliesslich im Oktober 2004 zum Tod der Versicherten gefÃ¼hrt hat. Dass auch bei einem solchen Antrag auf Weiterversicherung der Versicherten die Auskunft- und Meldepflicht gemÃ¤ss Art. 7 des Reglements greift, erscheint angesichts des Umstandes, dass die Versicherte aufgrund dessen in eine neue Versicherungskategorie aufgenommen worden war, als selbstverstÃ¤ndlich. Dass die Beklagte die tatsÃ¤chlich weiterbestehende ArbeitstÃ¤tigkeit und vollstÃ¤ndige ArbeitsfÃ¤higkeit der Versicherten Ã¼ber das ursprÃ¼ngliche Schlussalter von 62 hinaus als Bedingung, ohne deren Vorhandensein sie ihre Zustimmung zur Aufnahme der Versicherten in die neue Versicherungskategorie nicht gegeben hÃ¤tte, qualifiziert hat, erscheint angesichts der damit einhergehenden rechtlichen und finanziellen Folgen als durchaus nachvollziehbar. Auch steht dieser Auffassung aufgrund der dargelegten Konsequenzen aus objektiver Sicht nichts entgegen, mithin durfte die Beklagte die ArbeitstÃ¤tigkeit und die vollstÃ¤ndige ArbeitsfÃ¤higkeit der Versicherten als notwendige Grundlage fÃ¼r das Zustandekommen der Vereinbarung Ã¼ber die Weiterversicherung Ã¼ber das reglementarische Schlussalter 62 hinaus betrachten. Mit der Beklagten ist daher davon auszugehen, dass sich diese beim Abschluss der Vereinbarung Ã¼ber die Weiterversicherung der Versicherten bis zum Schlussalter 64 in einem Grundlagenirrtum gemÃ¤ss Art. 24 Abs. 1 Ziff. 4 OR befunden hat. Im Weiteren kann aber auch der Tatbestand der absichtlichen TÃ¤uschung im Sinne von Art. 28 Abs. 1 OR als erfÃ¼llt betrachtet werden, denn waren die Angabe der Arbeitgeberin "WeiterbeschÃ¤ftigung ja" und das Nichtmelden der bereits seit MÃ¤rz 2004 bestehenden vollstÃ¤ndigen ArbeitsunfÃ¤higkeit der Versicherten nicht nur nicht korrekt, sondern liefen geradezu darauf hinaus, die Beklagte in die Irre zu fÃ¼hren.</w:t>
      </w:r>
    </w:p>
    <w:p>
      <w:r>
        <w:t>Â Â Â Â Â Â Â Â  Unter diesen UmstÃ¤nden durfte die Beklagte im Sinne von Art. 31 Abs. 1 OR von der Vereinbarung zurÃ¼cktreten und den gestÃ¼tzt darauf ausgestellten Versicherungsausweis (Urk. 2/2) wiederrufen (Urk. 9/7, Urk. 9/8 und Urk. 9/9).</w:t>
      </w:r>
    </w:p>
    <w:p>
      <w:r>
        <w:t>5.3Â Â Â Â  Der VollstÃ¤ndigkeit halber ist festzuhalten, dass der Antrag der Versicherten auf (Teil-)Kapitalbezug vom 19. August 2003 (Urk. 9/2) nicht als Antrag auf Verschiebung des RÃ¼cktrittsalters qualifiziert werden kann. Allein der Umstand, dass das Gesuch spÃ¤testens 3 Jahre vor dem Erreichen des RÃ¼cktrittsalters abzugeben ist (Art. 13 Ziff. 5 Abs. 2 des Reglements), macht es nicht automatisch zum zusÃ¤tzlichen Gesuch um Verschiebung des RÃ¼cktrittsalters. Davon gingen denn auch weder die Versicherte noch ihr Arbeitgeber aus, sonst hÃ¤tte Letzterer am 17. Juni 2004 nicht eine Meldung zur Weiterversicherung der Versicherten erstattet (Urk. 9/3). Schliesslich hat die Beklagte erklÃ¤rt, dass sie zu Gunsten der Versicherten auf die Einhaltung dieser Frist verzichtet habe, und konsequenterweise das Kapital den KlÃ¤gerinnen denn auch ausbezahlt.</w:t>
      </w:r>
    </w:p>
    <w:p>
      <w:r>
        <w:t>5.4Â Â Â Â  Nach dem Gesagten ist fÃ¼r die Versicherte vom reglementarischen RÃ¼cktrittsalter 62 auszugehen (vgl. Art. 4 Abs. 2 des Reglements). Der Anspruch auf Altersrentenleistungen im Sinne von Art. 13 Abs. 1 des Reglements begann damit fÃ¼r die am 18. August 1942 geborene Versicherte am 1. September 2004, wovon auch die Beklagte ausging (Urk. 2/7). Der Anspruch auf Altersrentenleistungen entstand daher vor dem Ableben der Versicherten am 10. Oktober 2004. Daher haben die KlÃ¤gerinnen keinen Anspruch auf das Todesfallkapital gemÃ¤ss Art. 19 Abs. 1 des Reglements, war zur Abweisung der Klage fÃ¼hrt.</w:t>
      </w:r>
    </w:p>
    <w:p>
      <w:r>
        <w:t>6.Â Â Â Â Â Â  Den VersicherungstrÃ¤gern und den Gemeinwesen steht in der Regel kein Anspruch auf ParteientschÃ¤digung zu (BGE 118 V 169 Erw. 7; Â§ 34 Abs. 2 des Gesetztes Ã¼ber das Sozialversicherungsgerichts).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Â Â  Zustellung gegen Empfangsschein an:</w:t>
      </w:r>
    </w:p>
    <w:p>
      <w:r>
        <w:t>- BVG-Sammelstiftung der Rentenanstalt</w:t>
      </w:r>
    </w:p>
    <w:p>
      <w:r>
        <w:t>- Rechtsanwalt Dr. Hans-Ulrich Stauffer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