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BV.2006.00039 vom 25. Juni 2007</w:t>
      </w:r>
    </w:p>
    <w:p>
      <w:r>
        <w:t>ZH Sozialversicherungsgericht, 2007-06-25, DE</w:t>
      </w:r>
    </w:p>
    <w:p>
      <w:r>
        <w:rPr>
          <w:b/>
        </w:rPr>
        <w:t xml:space="preserve">Quelle: </w:t>
      </w:r>
      <w:r>
        <w:t>https://mcp.opencaselaw.ch/entscheid/zh_sozialversicherungsgericht_BV.2006.00039</w:t>
      </w:r>
    </w:p>
    <w:p>
      <w:r>
        <w:t>FR: ZH_SOZIALVERSICHERUNGSGERICHT BV.2006.00039 du 25 juin 2007</w:t>
      </w:r>
    </w:p>
    <w:p>
      <w:r>
        <w:t>IT: ZH_SOZIALVERSICHERUNGSGERICHT BV.2006.00039 del 25 giugno 2007</w:t>
      </w:r>
    </w:p>
    <w:p>
      <w:pPr>
        <w:pStyle w:val="Heading2"/>
      </w:pPr>
      <w:r>
        <w:t>Erwägungen</w:t>
      </w:r>
    </w:p>
    <w:p>
      <w:r>
        <w:rPr>
          <w:b/>
        </w:rPr>
        <w:t>E. 1</w:t>
      </w:r>
    </w:p>
    <w:p>
      <w:r>
        <w:t>1.1Â Â Â Â  P.___, geboren 1942, war von 1988 bis Juli 2002 entgeltlich als Autoelektriker fÃ¼r die A.___, ZÃ¼rich, tÃ¤tig. Nach der Beendigung dieser TÃ¤tigkeit war zwischen den beiden Genannten umstritten, wie ihr VertragsverhÃ¤ltnis rechtlich zu qualifizieren sei (Auftrag oder Arbeitsvertrag) und welche AnsprÃ¼che P.___ gegenÃ¼ber der A.___ noch zustÃ¼nden. Um dies abzuklÃ¤ren, erhob P.___ am 2. Juli 2002 beim Arbeitsgericht ZÃ¼rich Klage gegen die A.___. Mit Urteil vom 31. Oktober 2003 qualifizierte das Arbeitsgericht das VertragsverhÃ¤ltnis als Arbeitsvertrag und sprach P.___ Fr. 23'398.10 netto nebst Zinsen zu (LohnansprÃ¼che MÃ¤rz bis Juli 2002, vgl. Urk. 2/42/1). Dieses Urteil ist nach dem RÃ¼ckzug der dagegen erhobenen Berufung in Rechtskraft erwachsen (vgl. Urk. 2/51).</w:t>
      </w:r>
    </w:p>
    <w:p>
      <w:r>
        <w:t>1.2Â Â Â Â  Praktisch gleichzeitig mit der Klageeinleitung beim Arbeitsgericht hatte P.___ beim Sozialversicherungsgericht Klage gegen die - damals noch als Pensionskasse des Autogewerbe firmierende - Beklagte erhoben mit dem Rechtsbegehren, diese sei zu verpflichten, bei der A.___ BVG-BeitrÃ¤ge fÃ¼r ihn einzufordern (Klage vom 28. Juni 2002, Urk. 2/1). In der Folge wurde ein Verfahren gegen die Pensionskasse des Autogewerbes und die A.___ als Beklagte angelegt (vgl. Protokollrubrum, Urk. 2/0), welches nach DurchfÃ¼hrung eines doppelten Schriftenwechsels (vgl. Urk. 2/17 und Urk. 2/20) bis zum Abschluss des Berufungsverfahrens gegen den Arbeitsgerichtsentscheid sistiert wurde (VerfÃ¼gung vom 12. November 2003, Urk. 2/43).</w:t>
      </w:r>
    </w:p>
    <w:p>
      <w:r>
        <w:t>Â Â Â Â Â Â Â Â  Nachdem das Verfahren am 8. Oktober 2004 wieder aufgenommen worden war (Urk. 2/53), wies die Pensionskasse Mobil mit Eingabe vom 25. November 2004 darauf hin, dass es zufolge des am 5. November 2004 abgeschlossenen Konkurses gegen die A.___ nicht mehr mÃ¶glich sei, BVG-BeitrÃ¤ge von dieser einzufordern. Gleichzeitig erklÃ¤rte sie sich aber bereit, der aktuellen Vorsorgeeinrichtung des KlÃ¤gers die auf Fr. 113'156.45 bezifferte Austrittsleistung, abzÃ¼glich ausstehender ArbeitnehmerbeitrÃ¤ge in HÃ¶he von Fr. 56'633.-- zu Ã¼berweisen (Urk. 2/61). Daraufhin Ã¤nderte der KlÃ¤ger mit Eingabe vom 10. Januar 2005 sein Rechtsbegehren dahingehend ab, dass er von der Pensionskasse Mobil die Ausrichtung einer Austrittsleistung von Fr. 113'156.45 verlangte (Urk. 2/66).</w:t>
      </w:r>
    </w:p>
    <w:p>
      <w:r>
        <w:t>Â Â Â Â Â Â Â Â  Diese KlageÃ¤nderung liess das Sozialversicherungsgericht nicht zu. In seinem Urteil vom 27. April 2005 hielt es fest, dass die Abrechnungspflicht des Arbeitgebers Streitgegenstand bilde und dass diesbezÃ¼glich nach der neueren hÃ¶chstrichterlichen Rechtsprechung nur der Arbeitgeber, nicht auch dessen Vorsorgeeinrichtung passivlegitimiert sei. Dementsprechend schrieb es die Klage gegen die A.___ als - zufolge der inzwischen erfolgten LÃ¶schung im Handelsregister - gegenstandslos geworden ab und wies sie gegen die Pensionskasse Mobil mangels Passivlegitimation ab (Urk. 2/77).</w:t>
      </w:r>
    </w:p>
    <w:p>
      <w:r>
        <w:t>1.3Â Â Â Â  Mit Urteil vom 6. Februar 2006 hob das EidgenÃ¶ssische Versicherungsgericht das Urteil des Sozialversicherungsgerichts auf und wies die Streitsache zur Neubeurteilung an dieses zurÃ¼ck (Urk. 1). GemÃ¤ss den ErwÃ¤gungen des RÃ¼ckweisungsentscheids hÃ¤tte das Sozialversicherungsgericht die KlageÃ¤nderung zulassen mÃ¼ssen, da die gemÃ¤ss ZÃ¼rcher Prozessrecht erforderlichen Voraussetzungen hierfÃ¼r erfÃ¼llt gewesen seien, insbesondere seien dadurch keine weiteren Beweisvorkehren notwendig geworden (Erw. 5.2). Deshalb sei die Sache an die Vorinstanz zurÃ¼ckzuweisen, damit sie, nach Vornahme der erforderlichen AbklÃ¤rungen, Ã¼ber die HÃ¶he der Austrittsleistung sowie die ZulÃ¤ssigkeit der Verrechnung der ausstehenden ArbeitnehmerbeitrÃ¤ge mit der Austrittsleistung durch die Pensionskasse im Rahmen der Rechtsprechung gemÃ¤ss BGE 128 V 224 neu entscheide (Erw. 6.2).</w:t>
      </w:r>
    </w:p>
    <w:p>
      <w:r>
        <w:rPr>
          <w:b/>
        </w:rPr>
        <w:t>E. 2</w:t>
      </w:r>
    </w:p>
    <w:p>
      <w:r>
        <w:t>2.1Â Â Â Â  In BGE 128 V 224 ff. hatte das EidgenÃ¶ssische Versicherungsgericht befunden, eine Vorsorgeeinrichtung kÃ¶nne, wenn der Arbeitgeber seiner Beitragszahlungspflicht nach Art. 66 Abs. 2 des Bundesgesetzes Ã¼ber die berufliche Alters-, Hinterlassenen- und Invalidenvorsorge (BVG) nicht nachgekommen sei, bezÃ¼glich nicht vom Lohn abgezogener Arbeitnehmeranteile nicht einfach die Einrede des nicht erfÃ¼llten Vertrags erheben und die Arbeitnehmeranteile von der Austrittsleistung in Abzug bringen. Allein der Arbeitgeber sei Beitragsschuldner. Art. 39 Abs. 2 BVG erlaube lediglich, dass die Vorsorgeeinrichtung sich die Forderung des Arbeitgebers gegenÃ¼ber dem Arbeitnehmer abtreten lÃ¤sst und die abgetretene Forderung zur Verrechnung bringt. BezÃ¼glich der Forderung des Arbeitgebers gegenÃ¼ber dem Arbeitnehmer sei zu beachten, dass, wenn keine BVG-AbzÃ¼ge erfolgten, zuviel Lohn ausbezahlt worden sei. Den zuviel ausbezahlten Lohn kÃ¶nne der Arbeitgeber aber nur nach den gewÃ¶hnlichen RÃ¼ckforderungsregeln zurÃ¼ckverlangen. Art. 39 Abs. 2 BVG stipuliere keine von den generellen Regeln Ã¼ber die Entstehung und das ErlÃ¶schen von Obligationen oder von den bekannten juristischen Instituten abweichende Ordnung.</w:t>
      </w:r>
    </w:p>
    <w:p>
      <w:r>
        <w:t>2.2Â Â Â Â  Der KlÃ¤ger will diesen Entscheid dahingehend verstanden wissen, dass der Arbeitgeber, wenn dieser im Zeitpunkt der Lohnauszahlung keine BVG-AbzÃ¼ge vornehme, im Sinne von Art. 63 Abs. 1 OR freiwillig eine Nichtschuld in HÃ¶he der nicht erfolgten AbzÃ¼ge bezahle. Diesen Betrag kÃ¶nne er nur dann zurÃ¼ckfordern, wenn er nachzuweisen vermÃ¶ge, dass er sich Ã¼ber die Schuldpflicht im Irrtum befunden habe (Urk. 17 S. 3).</w:t>
      </w:r>
    </w:p>
    <w:p>
      <w:r>
        <w:t>2.3Â Â Â Â  TatsÃ¤chlich legt die deutsche Regeste des franzÃ¶sischsprachigen BGE 128 V 224 diese Auslegung nahe. Indessen findet sich in den ErwÃ¤gungen kein Hinweis auf das Institut der ungerechtfertigten Bereicherung (enrichissement illÃ©gitime), sondern ist lediglich von den gewÃ¶hnlichen RÃ¼ckforderungsregeln (Âles rÃ¨gles usuelles sur la rÃ©pÃ©titionÂ), die Rede und zeigt eine genauere Betrachtung der Problematik im Lichte der generellen Regeln Ã¼ber die Entstehung und das ErlÃ¶schen von Obligationen, dass der zu beurteilende Sachverhalt nicht unter den Tatbestand einer ungerechtfertigten Bereicherung zu subsumieren ist.</w:t>
      </w:r>
    </w:p>
    <w:p>
      <w:r>
        <w:rPr>
          <w:b/>
        </w:rPr>
        <w:t>E. 2.4</w:t>
      </w:r>
    </w:p>
    <w:p>
      <w:r>
        <w:t>2.4.1Â Â  Im Rahmen eines zweiseitigen DauerschuldverhÃ¤ltnisses kÃ¶nnen periodische Zahlungen, welche nicht 100%ig der vertraglichen Gegenleistung in der Periode entsprechen, fÃ¼r die die Zahlung erbracht wird, nicht ohne Weiteres als im Sinne ungerechtfertigter Bereicherung ohne Rechtsgrund erfolgt angesehen werden. Insbesondere bei auf Arbeitsleistung gegen Bezahlung ausgerichteten DauerschuldverhÃ¤ltnissen ist zu berÃ¼cksichtigen, dass Vorleistungen einer Vertragspartei mÃ¶glich und teilweise gesetzlich vorgesehen sind (vgl. die Regelungen Ã¼ber LohnrÃ¼ckbehalt, Lohnvorschuss und Auszahlung von Gratifikationen im ArbeitsverhÃ¤ltnis), dass Zahlungen in der Regel also im Rahmen eines KontokorrentverhÃ¤ltnisses im Sinne von Art. 117 OR akonto ausgerichtet werden. Unter diesem Gesichtspunkt ist Âzuviel ausbezahlter LohnÂ von vornherein keine Zuwendung ohne Rechtsgrund, sondern vielmehr eine zulÃ¤ssige vorschÃ¼ssige Lohnzahlung im Rahmen des ArbeitsverhÃ¤ltnisses.</w:t>
      </w:r>
    </w:p>
    <w:p>
      <w:r>
        <w:t>Â Â Â Â Â Â Â Â  Auf vorsorgerechtlicher Seite verlangen sodann weder Art. 66 Abs. 3 BVG noch das hier zur Anwendung kommende Reglement der Beklagten (Urk. 2/6) einen proportionalen Abzug der ArbeitnehmerbeitrÃ¤ge bei jeder Lohnauszahlung. Und insbesondere besagen weder Gesetz noch Reglement, dass der Anspruch des Arbeitgebers auf die gemÃ¤ss Art. 66 Abs. 3 BVG ihm geschuldeten ArbeitnehmerbeitrÃ¤ge untergehe, wenn bei der Lohnauszahlung keine proportionalen AbzÃ¼ge erfolgen. Bei dem dem Arbeitgeber obliegenden Lohnabzug handelt es sich um eine ErfÃ¼llungshandlung (analog Lastschriftverfahren). Erfolgt sie, wird die Beitragsforderung entsprechend getilgt, ansonsten bleibt sie bestehen. Davon ist jedenfalls der Gesetzgeber bei der Schaffung von Art. 39 Abs. 2 BVG ausgegangen. Denn wenn dem nicht so wÃ¤re, wenn also ein Arbeitgeber, welcher bei einer aktuellen Lohnauszahlung keine AbzÃ¼ge fÃ¼r den Arbeitnehmeranteil an den BerufsvorsorgebeitrÃ¤gen vornimmt, damit auf die Forderung verzichten und freiwillig eine Nichtschuld in HÃ¶he des Arbeitnehmeranteils bezahlen wÃ¼rde, gÃ¤be es bis zum Zeitpunkt, in welchem die Beitragsschuld des Arbeitgebers gegenÃ¼ber der Vorsorgeeinrichtung fÃ¤llig wird (Art. 66 Abs. 4 BVG), gar keine bei ZahlungsunfÃ¤higkeit des Arbeitgebers zahlungshalber abtretbare Forderung im Sinne von Art. 39 Abs. 2 BVG mehr und wÃ¤re diese Gesetzesbestimmung somit sinnlos.</w:t>
      </w:r>
    </w:p>
    <w:p>
      <w:r>
        <w:t>2.4.2Â Â  Dass im fehlenden Lohnabzug kein Parteiwille zur Aufhebung der Forderung im Sinne von Art. 115 OR und keine freiwillige Bezahlung einer Nichtschuld erblickt werden kann, gilt insbesondere dann, wenn - wie im vorliegenden Fall - die Qualifikation eines DauerschuldverhÃ¤ltnisses wÃ¤hrend seiner Dauer umstritten war und erst ex post durch einen Gerichtsentscheid festgestellt wird, dass ein ArbeitsverhÃ¤ltnis vorlag, in welchem berufsvorsorgerechtliche LohnabzÃ¼ge vorzunehmen waren. Denn Art. 63 Abs. 1 OR setzt die irrtumsfreie freiwillige Zahlung einer Nichtschuld voraus. Um irrtumsfrei auf den Arbeitnehmeranteil verzichten zu kÃ¶nnen, mÃ¼sste der Arbeitgeber sich also darÃ¼ber im Klaren sein, dass er eine solchen Anspruch hat. Hiervon kann jedoch keine Rede sein, wenn der Âzuviel LohnÂ zahlende Arbeitgeber sich im Zeitpunkt der Zahlung gar nicht als Arbeitgeber sieht (sehen will) und seine Zahlung demzufolge nicht unter dem Titel ÂArbeitslohnÂ erbringt (vgl. Urk. 2/42/1 S. 3 f.). Dass aufgrund der tatsÃ¤chlichen Gegebenheiten wÃ¤hrend der Dauer des VertragsverhÃ¤ltnisses Âohne ZweifelÂ von einem ArbeitsverhÃ¤ltnis auszugehen war (vgl. Urk. 2/42/1 S. 5), bedeutet nicht, dass der Arbeitgeber, als er auf seinen Zahlungen keine AbzÃ¼ge fÃ¼r die berufliche Vorsorge erhob, dem KlÃ¤ger freiwillig eine Zuwendung machen wollte, zu der er nicht verpflichtet war. Aufgrund der tatsÃ¤chlichen Gegebenheiten ist vielmehr davon auszugehen, dass er nicht nur dem KlÃ¤ger keine freiwillige Zuwendung in Form der Ãbernahme von ArbeitnehmerbeitrÃ¤gen fÃ¼r die berufliche Vorsorge machen, sondern ganz im Gegenteil dem KlÃ¤ger freiwillig gar keine arbeitsvertraglichen Leistungen gewÃ¤hren wollte.</w:t>
      </w:r>
    </w:p>
    <w:p>
      <w:r>
        <w:t>2.4.3Â Â  Im Ãbrigen kann der Arbeitgeber auf die reglementarischen ArbeitnehmerbeitrÃ¤ge, welche er gemÃ¤ss Art. 66 Abs. 3 BVG vom Lohn abzuziehen hat, gar nicht verzichten, da er Ã¼ber die Forderung nicht verfÃ¼gen kann. Er kann dem Arbeitnehmer auf diese Weise also auch keine Zuwendung machen.</w:t>
      </w:r>
    </w:p>
    <w:p>
      <w:r>
        <w:t>Â Â Â Â Â Â Â Â  Zwar lassen die gesetzlichen Vorschriften Ã¼ber die Aufteilung der BeitrÃ¤ge (Art. 66 BVG) und Art. 36 Abs. 3 des Vorsorgereglements der Beklagten eine fÃ¼r den Arbeitnehmer gÃ¼nstigere Aufteilung der BeitrÃ¤ge als die reglementarische hÃ¤lftige grundsÃ¤tzlich zu. Doch kann eine dahingehende Regelung nicht ohne Mitwirkung der Vorsorgeeinrichtung zustande kommen. Art. 66 Abs. 3 BVG schreibt zwar selbst keinen Arbeitnehmeranteil vor, doch verlangt er, dass dieser reglementarisch festzulegen sei. Im Reglement lÃ¤sst sich aber nicht der Arbeitgeber, sondern die Vorsorgeeinrichtung eine Leistung des Arbeitnehmers an den Arbeitgeber versprechen; sie ist berechtigt zu fordern, dass an den Arbeitgeber geleistet wird (Art. 112 Abs. 1 OR). Der Arbeitgeber kann zwar die ErfÃ¼llung fordern (Art. 112 Abs. 2 OR), d.h. insoweit Ã¼ber die Forderung disponieren, als er durch seine LohnabzÃ¼ge darÃ¼ber bestimmt, wann und in welchem Umfang die Beitragsforderung gegenÃ¼ber dem Arbeitnehmer getilgt wird. Dem Arbeitnehmer die der Vorsorgeeinrichtung zustehende Forderung erlassen kann er hingegen nicht, insbesondere nicht dadurch, dass er einfach keine LohnabzÃ¼ge vornimmt. Daran Ã¤ndert auch eine Reglementsbestimmung nichts, welche generell eine fÃ¼r den Arbeitnehmer gÃ¼nstigere als die reglementarische Aufteilung der BeitrÃ¤ge zulÃ¤sst.</w:t>
      </w:r>
    </w:p>
    <w:p>
      <w:r>
        <w:t>Â Â Â Â Â Â Â Â  Die Vorsorgeeinrichtung muss das Beitragssystem und die Finanzierung so regeln, dass die Leistungen im Rahmen des Gesetzes bei FÃ¤lligkeit erbracht werden kÃ¶nnen (Art. 65 Abs. 2 BVG). Sie darf daher das Risiko einer ZahlungsunfÃ¤higkeit des Arbeitgebers nicht ausser Acht lassen und die ihr mit Art. 39 Abs. 2 BVG eingerÃ¤umte MÃ¶glichkeit, gegebenenfalls das finanzielle Gleichgewicht durch die Abtretung von BeitrÃ¤gen, die nicht vom Lohn abgezogen wurden, und deren Verrechnung mit LeistungsansprÃ¼chen nicht leichtfertig preisgeben. Denn wenn sie beziehungsweise das Vorsorgewerk eines bestimmten Arbeitgebers zufolge der ZahlungsunfÃ¤higkeit ebendieses Arbeitgebers selbst zahlungsunfÃ¤hig wird, muss der Sicherheitsfonds die gesetzlichen und in einem bestimmten Umfang auch Ã¼ber die gesetzlichen Leistungen hinausgehenden reglementarischen Leistungen sicherstellen (Art. 56 Abs. 1 lit. b und c BVG).</w:t>
      </w:r>
    </w:p>
    <w:p>
      <w:r>
        <w:t>Â Â Â Â Â Â Â Â  Im Lichte dieser Ãberlegungen erweist sich eine Reglementsbestimmung, welche es ohne RÃ¼cksicht auf die ZahlungsfÃ¤higkeit des Arbeitgebers bzw. die ErfÃ¼llung der Beitragszahlungspflicht durch den Arbeitgeber den Parteien des Arbeitsvertrags Ã¼berlÃ¤sst, eine fÃ¼r den Arbeitnehmer gÃ¼nstigere als die reglementarische Aufteilung der BeitrÃ¤ge festzulegen, als gesetzeswidrig und damit nichtig. Dem Normzweck von Art. 65 Abs. 2 BVG entsprechend kann eine vom Reglement abweichende Aufteilung der Beitragsanteile zwischen Arbeitgeber und Arbeitnehmer nur unter Mitwirkung der Vorsorgeeinrichtung zustande kommen. Dabei liegt es in der Verantwortung der Organe der Vorsorgeeinrichtung, mit einem Finanzierungsvorbehalt so weit als mÃ¶glich sicherzustellen, dass auch dann, wenn der Arbeitgeber freiwillig einen hÃ¶heren Beitragsanteil Ã¼bernimmt als denjenigen, zu dem er gemÃ¤ss Art. 66 Abs. 1 BVG verpflichtet ist, die Leistungen primÃ¤r durch die im Beitragssystem vorgesehenen BeitrÃ¤ge finanziert werden kÃ¶nnen. Die Organe der Vorsorgeeinrichtung haben daher im Bereich der gesetzlichen und der Ã¼berobligatorischen, durch den Sicherheitsfonds abgesicherten beruflichen Vorsorge dieselbe Sorgfalt auf die Sicherstellung der Selbstfinanzierung zu verwenden, wie im Bereich der nicht durch den Sicherheitsfonds abgesicherten Vorsorge. Verletzen sie diese Sorgfaltspflicht, werden sie gegenÃ¼ber der Vorsorgeeinrichtung dafÃ¼r verantwortlich (Art. 52 BVG). Dieser Verantwortlichkeit kÃ¶nnen die Organe der Vorsorgeeinrichtung nicht enthoben werden, indem die Festlegung der Beitragsanteile von Arbeitgeber und Arbeitnehmern den Arbeitsvertragsparteien Ã¼berlassen wird.</w:t>
      </w:r>
    </w:p>
    <w:p>
      <w:r>
        <w:t>2.4.4Â Â  Schliesslich wÃ¤re es auch einigermassen fragwÃ¼rdig, wenn mit der Konstruktion einer freiwilligen Bezahlung einer Nichtschuld im Sinne von Art. 63 OR die Verrechnung von LeistungsansprÃ¼chen mit einer vom Arbeitgeber an die Vorsorgeeinrichtung abgetretenen Forderung auf Nachzahlung nicht vom Lohn abgezogener ArbeitnehmerbeitrÃ¤ge vereitelt wÃ¼rde. Denn wenn der Gesetzgeber einerseits vom Arbeitgeber verlangt, dass dieser die reglementarischen ArbeitnehmerbeitrÃ¤ge vom Lohn abzieht (Art. 66 Abs. 3 BVG) und im Rahmen eines ansonsten strikten Verrechnungsverbots einzig fÃ¼r nicht vom Lohn abgezogene ArbeitnehmerbeitrÃ¤ge eine Ausnahme zulÃ¤sst (Art. 39 Abs. 2 BVG), geht es um die Durchsetzung der Versicherungspflicht (Art. 11 BVG) und die rechtsgleiche Beteiligung der Arbeitnehmer an der Finanzierung ihrer Vorsorgeleistungen. Beidem ist jedoch nicht gedient, wenn einem Arbeitgeber, welcher die Versicherungspflicht verletzt, um selber keine BerufsvorsorgebeitrÃ¤ge erbringen zu mÃ¼ssen, unterschoben wird, er habe - ohne effektiv eine entsprechende Zahlung an die Vorsorgeeinrichtung zu leisten - den betroffenen Arbeitnehmer von dessen Beitragsanteil entlastet, indem er keinen entsprechenden Lohnabzug vornahm. Denn dadurch wÃ¼rde der nicht versicherte Arbeitnehmer einen gesetzlichen Anspruch auf Berufsvorsorgeleistungen erlangen, ohne - wie die versicherten Arbeitnehmer - BeitrÃ¤ge leisten zu mÃ¼ssen, und hÃ¤tte daher im Rahmen der gesetzlichen Vorsorge auch kein finanzielles Interesse daran, versichert zu werden. Die Parteien des Arbeitsvertrags hÃ¤tten es also in der Hand, dem Arbeitnehmer zum beidseitigen finanziellen Vorteil und zu Lasten der Versichertengemeinschaft aller Berufsvorsorgeversicherten beitragsfreie Berufsvorsorgeleistungen zu verschaffen. Dem vermag Art. 39 Abs. 2 BVG zumindest insoweit entgegenzuwirken, als es nicht versicherte Arbeitnehmer in der obligatorischen beruflichen Vorsorge hinsichtlich deren Beteiligung an der Finanzierung ihrer Vorsorgeleistungen mit den versicherten gleich stellt und damit den Anreiz der nicht versicherten Arbeitnehmer beseitigt, die Verletzung der Versicherungspflicht durch den Arbeitgeber hinzunehmen oder gar zu unterstÃ¼tzen.</w:t>
      </w:r>
    </w:p>
    <w:p>
      <w:r>
        <w:t>2.5Â Â Â Â  Die gemÃ¤ss dem RÃ¼ckweisungsentscheid zu berÃ¼cksichtigende Rechtsprechung steht somit der von der Beklagten geltend gemachten Verrechnung der ihr von der Konkursmasse des Arbeitgebers abgetretenen Forderung nicht entgegen.</w:t>
      </w:r>
    </w:p>
    <w:p>
      <w:r>
        <w:rPr>
          <w:b/>
        </w:rPr>
        <w:t>E. 3</w:t>
      </w:r>
    </w:p>
    <w:p>
      <w:r>
        <w:t>3.1Â Â Â Â  GemÃ¤ss Art. 120 Abs. 1 OR kann, wenn zwei Personen einander Geldsummen oder andere Leistungen, die ihrem Gegenstand nach gleichartig sind, schulden, jede dieser beiden Personen ihre Schuld, sofern beide Forderungen fÃ¤llig sind, mit ihrer Forderung verrechnen. Der Schuldner kann die Verrechnung geltend machen, auch wenn seine Gegenforderung bestritten wird (Art. 120 Abs. 2 OR). Eine verjÃ¤hrte Forderung kann zur Verrechnung gebracht werden, wenn sie zur Zeit, wo sie mit der anderen Forderung verrechnet werden konnte, noch nicht verjÃ¤hrt war (Art. 120 Abs. 2 OR).</w:t>
      </w:r>
    </w:p>
    <w:p>
      <w:r>
        <w:t>Â Â Â Â Â Â Â Â  Bei abgetretenen Forderungen kann der Schuldner Einreden, die der Forderung des Abtretenden entgegenstanden, auch gegen den Erwerber geltend machen, wenn sie schon zu der Zeit vorhanden waren, als er von der Abtretung Kenntnis erhielt (Art. 169 Abs. 1 OR). Ist eine Gegenforderung des Schuldners in diesem Zeitpunkt noch nicht fÃ¤llig gewesen, so kann er sie dennoch zur Verrechnung bringen, wenn sie nicht spÃ¤ter als die abgetretene Forderung fÃ¤llig geworden ist (Art. 169 Abs. 2 OR).</w:t>
      </w:r>
    </w:p>
    <w:p>
      <w:r>
        <w:t>3.2Â Â Â Â  Im Lichte dieser Gesetzesbestimmungen ist zu prÃ¼fen, ob bzw. inwieweit die der Beklagten von der Konkursmasse des Arbeitgebers abgetretene und gemÃ¤ss ErwÃ¤gung 2 grundsÃ¤tzlich verrechenbare Forderung effektiv besteht und wieweit sie durch seitens des KlÃ¤gers zur Verrechnung gebrachte Forderungen gegenÃ¼ber seinem Arbeitgeber getilgt worden ist.</w:t>
      </w:r>
    </w:p>
    <w:p>
      <w:r>
        <w:t>Â Â Â Â Â Â Â Â  Beide Parteien bestreiten - soweit sie nicht selber verrechnen wollen - die Gleichartigkeit der Leistungen (Urk. 2/66 Ziff. 3.1; Urk. 21 Ziff. 3.5). Der KlÃ¤ger erhebt zudem die Einrede der VerjÃ¤hrung (Urk. 17 Ziff. 3.2), und die Beklagte bestreitet teilweise den Bestand der vom KlÃ¤ger geltend gemachten arbeitsvertraglichen AnsprÃ¼che (Urk. 21 Ziff. 3.6).</w:t>
      </w:r>
    </w:p>
    <w:p>
      <w:r>
        <w:t>3.2.1Â Â  Was die Gleichartigkeit der zur Verrechnung stehenden Leistungen anbelangt, handelt es sich durchwegs um Geldleistungen in gleicher WÃ¤hrung. Sie sind also problemlos austauschbar und daher im Sinne von Art. 120 Abs. 1 OR gleichartig. Dies gilt sowohl im VerhÃ¤ltnis zwischen FreizÃ¼gigkeits- und Beitragsleistung (wo die Verrechenbarkeit in Art. 39 Abs. 2 BVG ja ausdrÃ¼cklich vorgesehen ist) als auch fÃ¼r das VerhÃ¤ltnis zwischen Beitragsleistung und Lohnanspruch (wo der Lohnabzug gemÃ¤ss in Art. 66 Abs. 3 BVG ja nichts anderes als Verrechnung ist).</w:t>
      </w:r>
    </w:p>
    <w:p>
      <w:r>
        <w:t>3.2.2Â Â  BezÃ¼glich der vom KlÃ¤ger geltend gemachten VerjÃ¤hrung der Beitragsforderung des Arbeitgebers ist mit der Beklagten (vgl. Urk. 21 S. 2) auf das Urteil B 26/99 des EidgenÃ¶ssischen Versicherungsgerichts vom 9. August 2001 zu verweisen. Dort wurde festgehalten, zwar entstehe das VersicherungsverhÃ¤ltnis zwischen dem Arbeitnehmer und der Vorsorgeeinrichtung des Arbeitgebers im Bereich der obligatorischen beruflichen Vorsorge von Gesetzes wegen. Stelle sich jedoch die Frage des massgebenden AHV-rechtlichen Beitragsstatuts und damit der Versicherungspflicht - wie im vorliegenden Fall - erst im Nachhinein, so wÃ¼rden die gestÃ¼tzt auf Art. 66 BVG gesamthaft nachzuentrichtenden BeitrÃ¤ge - wie im Ãbrigen auch die FreizÃ¼gigkeitsleistung - frÃ¼hestens mit dem rechtskrÃ¤ftigen Entscheid Ã¼ber das strittige AHV-rechtliche Beitragsstatut fÃ¤llig. Es verhalte sich in einem solchen Fall Ã¤hnlich wie beim zwangsweisen Anschluss eines Arbeitgebers an die Auffangeinrichtung, bei welchem die VerjÃ¤hrungsfrist fÃ¼r BeitrÃ¤ge frÃ¼herer Jahre erst mit dem rechtskrÃ¤ftigen Zwangsanschluss zu laufen beginne.</w:t>
      </w:r>
    </w:p>
    <w:p>
      <w:r>
        <w:t>Â Â Â Â Â Â Â Â  Diese Rechtsprechung wurde mit BGE 128 V 224 ff. nicht geÃ¤ndert; die VerjÃ¤hrungseinrede ist daher unbehelflich.</w:t>
      </w:r>
    </w:p>
    <w:p>
      <w:r>
        <w:t>3.2.3Â Â  Soweit die Beklagte vorbringt, in ErwÃ¤gung 3.5 des Urteils des Arbeitsgerichts vom 31. Oktober 2003 sei festgestellt worden, dass kein Ferienlohn geschuldet sei (Urk. 21 Ziff. 3.6), ist genau das Gegenteil der Fall. In ErwÃ¤gung 3.5.b (in fine) des genannten Entscheids (Urk. 2/42/1) wurde festgehalten, dass der Arbeitgeber grundsÃ¤tzlich verpflichtet sei, den Ferienlohn nachzuzahlen. Lediglich fÃ¼r das Jahr 2002 bestehe kein Anspruch auf Ferienlohn, da dieser mit der bezahlten arbeitsfreien Zeit bis zum Ablauf der KÃ¼ndigungsfrist abgegolten sei (ErwÃ¤gung 3.5.b). FÃ¼r die vorangegangenen Jahre kÃ¶nne dem KlÃ¤ger allerdings deshalb kein Ferienlohn zugesprochen werden, weil er einen solchen nicht eingeklagt habe und der dem KlÃ¤ger bereits unter anderen Titeln zugesprochene Bruttobetrag die eingeklagte Forderung Ã¼bersteige.</w:t>
      </w:r>
    </w:p>
    <w:p>
      <w:r>
        <w:t>Â Â Â Â Â Â Â Â  GemÃ¤ss diesen AusfÃ¼hrungen besteht also zusÃ¤tzlich zu der beim Arbeitsgericht eingeklagten und durch den Verlustschein fÃ¼r die Forderung Nr. 35 ausgewiesenen ungedeckten Lohnanspruch fÃ¼r die Zeit von MÃ¤rz bis Juli 2002 in HÃ¶he von Fr. 25'184.56 (Urk. 2/67/2) sowie der vom Arbeitsgericht festgestellten Differenz zwischen dem von ihm ermittelten Lohnanspruch (Fr. 26'640.80) und der eingeklagten Forderung (Fr. 24'971.30) in HÃ¶he von Fr. 1'669.50 ein von der Konkursmasse des Arbeitgebers mit dem Verlustschein fÃ¼r die Forderung Nr. 36 anerkannter Ferienlohnanspruch fÃ¼r die vorangegangenen Jahre in HÃ¶he von Fr. 21'541.-- (Urk. 18/3). Soweit der KlÃ¤ger darÃ¼ber hinaus geltend macht, bei der Berechnung des Ferienlohnanspruchs sei dem Konkursamt ein sich mit rund Fr. 50.-- auswirkender Rechnungsfehler unterlaufen, ist dies angesichts der ohnehin annÃ¤herungsmÃ¤ssigen Ermittlung des anerkannten Anspruchs unbehelflich.</w:t>
      </w:r>
    </w:p>
    <w:p>
      <w:r>
        <w:t>3.3Â Â Â Â  Der KlÃ¤ger kann somit gegenÃ¼ber der der Beklagten von der Konkursmasse des Arbeitgebers abgetretenen Forderung fÃ¼r nicht vom Lohn abgezogene ArbeitnehmerbeitrÃ¤ge in HÃ¶he von Fr. 56'633.-- eine arbeitsvertragliche Gesamtforderung in HÃ¶he von Fr. 48'395.-- zur Verrechnung bringen. In diesem Umfang wird die Forderung des Arbeitgebers getilgt, weshalb die der Beklagten abgetretene Forderung lediglich im Umfang von Fr. 8'238.-- rechtsbestÃ¤ndig bleibt und von der Beklagten mit dem dem KlÃ¤ger zustehenden FreizÃ¼gigkeitsanspruch verrechnet werden kann.</w:t>
      </w:r>
    </w:p>
    <w:p>
      <w:r>
        <w:t>Â Â Â Â Â Â Â Â  Die von der Beklagten zusÃ¤tzlich geltend gemachten Kosten fÃ¼r die durch das Konkursamt nach Abschluss des Konkurses erfolgte Abtretung der Forderung fÃ¼r nicht vom Lohn abgezogene ArbeitnehmerbeitrÃ¤ge (Urk. 21 Ziff. 3.7) kann sie gegenÃ¼ber dem KlÃ¤ger nicht verrechnen, da dieser hierfÃ¼r nicht haftbar gemacht werden kann und somit keine Forderung ihm gegenÃ¼ber vorliegt.</w:t>
      </w:r>
    </w:p>
    <w:p>
      <w:r>
        <w:t>Â Â Â Â Â Â Â Â  Demzufolge ist die Beklagte in teilweiser Gutheissung der Klage zu verpflichten, den Betrag von Fr. 104'918.45 (Fr. 113'156.45 abzÃ¼glich Fr. 8'238.--) als Austrittsleistung an die FreizÃ¼gigkeitseinrichtung des KlÃ¤gers zu Ã¼berweisen. Diese Summe ist gemÃ¤ss Art. 2 Abs. 3 des Bundesgesetzes Ã¼ber die FreizÃ¼gigkeit in der beruflichen Alters-, Hinterlassenen- und Invalidenvorsorge (FZG) in Verbindung mit Art. 15 Abs. 2 BVG ab dem Datum des prÃ¤sumierten Austritts nach den ZinssÃ¤tzen von Art. 12 BVV 2 zu verzinsen.</w:t>
      </w:r>
    </w:p>
    <w:p>
      <w:r>
        <w:t>4.Â Â Â Â Â Â  Da die Beklagte im Ergebnis fast vollstÃ¤ndig unterliegt ist sie zu verpflichten, dem unentgeltlichen Rechtsvertreter des KlÃ¤gers eine ungekÃ¼rzte ParteientschÃ¤digung auszurichten. Mit Eingabe vom 11. Juni 2007 (Urk. 24) machte Rechtsanwalt Dr. Haegi einen Aufwand von insgesamt 49 Stunden und von insgesamt Fr. 356.-- Barauslagen (Urk. 25/2 in Verbindung mit Urk. 2/76) geltend. Dabei fÃ¤llt auf, dass insgesamt 12,5 Stunden auf Akten- und Rechtsstudium entfallen. Angesichts der Verunsicherung, die das EidgenÃ¶ssische Versicherungsgericht durch seine abermals prÃ¤zisierte Rechtsprechung geschaffen hat, ist ausnahmsweise auch der Aufwand fÃ¼r das Rechtstudium zu entschÃ¤digen, sodass dem KlÃ¤ger eine ProzessentschÃ¤digung von aufgerundet Fr. 10'000.-- zuzusprechen ist.</w:t>
      </w:r>
    </w:p>
    <w:p>
      <w:r>
        <w:t>Das Gericht erkennt:</w:t>
      </w:r>
    </w:p>
    <w:p>
      <w:r>
        <w:t>1.Â Â Â Â Â Â Â Â  In teilweiser Gutheissung der Klage wird die Beklagte verpflichtet, den Betrag von Fr. 104'918.45 nebst Zins gemÃ¤ss ErwÃ¤gung 3.3 als Austrittsleistung an die FreizÃ¼gigkeitseinrichtung des KlÃ¤gers zu Ã¼berweisen.</w:t>
      </w:r>
    </w:p>
    <w:p>
      <w:r>
        <w:t>2.Â Â Â Â Â Â Â Â  Das Verfahren ist kostenlos.</w:t>
      </w:r>
    </w:p>
    <w:p>
      <w:r>
        <w:t>3.Â Â Â Â Â Â Â Â  Die Beklagte wird verpflichtet, dem unentgeltlichen Rechtsvertreter des KlÃ¤gers, Rechtsanwalt Dr. Ernst H. Haegi, Oberrieden, eine ProzessentschÃ¤digung von Fr. 10'000.-- (inkl. Barauslagen und MWSt) zu bezahlen.</w:t>
      </w:r>
    </w:p>
    <w:p>
      <w:r>
        <w:t>4.Â Â Â Â Â Â Â Â  Zustellung gegen Empfangsschein an:</w:t>
      </w:r>
    </w:p>
    <w:p>
      <w:r>
        <w:t>- Rechtsanwalt Dr. Ernst H. Haegi</w:t>
      </w:r>
    </w:p>
    <w:p>
      <w:r>
        <w:t>- Rechtskonsulent Dr. Andreas LÃ¼thi unter Beilage des Doppels von Urk. 24 und von Kopien der Urk. 25/1-2 und von Urk. 2/76</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