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BV.2006.00005 vom 25. März 2007</w:t>
      </w:r>
    </w:p>
    <w:p>
      <w:r>
        <w:t>ZH Sozialversicherungsgericht, 2007-03-25, DE</w:t>
      </w:r>
    </w:p>
    <w:p>
      <w:r>
        <w:rPr>
          <w:b/>
        </w:rPr>
        <w:t xml:space="preserve">Quelle: </w:t>
      </w:r>
      <w:r>
        <w:t>https://mcp.opencaselaw.ch/entscheid/zh_sozialversicherungsgericht_BV.2006.00005</w:t>
      </w:r>
    </w:p>
    <w:p>
      <w:r>
        <w:t>FR: ZH_SOZIALVERSICHERUNGSGERICHT BV.2006.00005 du 25 mars 2007</w:t>
      </w:r>
    </w:p>
    <w:p>
      <w:r>
        <w:t>IT: ZH_SOZIALVERSICHERUNGSGERICHT BV.2006.00005 del 25 marzo 2007</w:t>
      </w:r>
    </w:p>
    <w:p>
      <w:pPr>
        <w:pStyle w:val="Heading2"/>
      </w:pPr>
      <w:r>
        <w:t>Erwägungen</w:t>
      </w:r>
    </w:p>
    <w:p>
      <w:r>
        <w:rPr>
          <w:b/>
        </w:rPr>
        <w:t>E. 1</w:t>
      </w:r>
    </w:p>
    <w:p>
      <w:r>
        <w:t>1.1Â Â Â Â  Im Bereich der weitergehenden Vorsorge wird das RechtsverhÃ¤ltnis zwischen der Vorsorgeeinrichtung und dem Vorsorgenehmer durch einen privatrechtlichen Vorsorgevertrag begrÃ¼ndet, der rechtsdogmatisch den InnominatvertrÃ¤gen (eigener Art) zuzuordnen ist (BGE 130 V 109 Erw. 3.3, 129 III 307 Erw. 2.2). Als solcher untersteht er in erster Linie den allgemeinen Bestimmungen des Obligationenrechts. Das Reglement stellt den vorformulierten Inhalt des Vorsorgevertrages bzw. dessen Allgemeine Versicherungsbedingungen (AVB) dar, denen sich der Versicherte ausdrÃ¼cklich oder durch konkludentes Verhalten unterzieht (BGE 129 V 147 Erw. 3.1, 127 V 306 f. Erw. 3a). Dies schliesst nicht aus, dass im Einzelfall auch vom Reglement abweichende Abreden getroffen werden kÃ¶nnen. Allerdings bedarf es hiefÃ¼r einer entsprechenden Vereinbarung zwischen der Vorsorgeeinrichtung und dem versicherten Arbeitnehmer, welchem Erfordernis die alleinige arbeitsvertragliche Abrede wesensgemÃ¤ss nicht zu genÃ¼gen vermag (BGE 122 V 145 Erw. 4b mit Hinweisen).</w:t>
      </w:r>
    </w:p>
    <w:p>
      <w:r>
        <w:t>Â Â Â Â Â Â Â Â  Die Auslegung des Reglements als vorformulierter Inhalt des Vorsorgevertrages geschieht nach dem Vertrauensprinzip. Dabei sind jedoch die den Allgemeinen Versicherungsbedingungen innewohnenden Besonderheiten zu beachten, namentlich die so genannten Unklarheits- und UngewÃ¶hnlichkeitsregeln (BGE 132 V 150 Erw. 5 mit Hinweisen). Nach diesen AuslegungsgrundsÃ¤tzen gilt es, ausgehend vom Wortlaut und unter BerÃ¼cksichtigung des Zusammenhanges, in dem eine streitige Bestimmung innerhalb des Reglements als Ganzes steht, den objektiven Vertragswillen zu ermitteln, den die Parteien mutmasslich gehabt haben. Dabei hat das Gericht zu berÃ¼cksichtigen, was sachgerecht ist, weil nicht angenommen werden kann, dass die Parteien eine unvernÃ¼nftige LÃ¶sung gewollt haben (BGE 131 V 29 Erw. 2.2). Sodann sind nach konstanter Rechtsprechung mehrdeutige Wendungen in vorformulierten Vertragsbedingungen im Zweifel zu Lasten ihres Verfassers auszulegen. Steht eine im Einzelfall getroffene vorsorgevertragliche Abrede in Frage, ist nach den gewÃ¶hnlichen Regeln der Vertragsauslegung zunÃ¤chst nach dem Ã¼bereinstimmenden wirklichen (subjektiven) Parteiwillen (Art. 18 Abs. 1 OR) zu suchen. LÃ¤sst sich ein Ã¼bereinstimmender Wille der Parteien nicht feststellen, so sind deren ErklÃ¤rungen ebenfalls nach dem Vertrauensprinzip auszulegen. Danach sind WillenserklÃ¤rungen so zu deuten, wie sie vom EmpfÃ¤nger in guten Treuen verstanden werden durften und mussten (BGE 122 V 146 Erw. 4c mit zahlreichen Hinweisen auf Lehre und Rechtsprechung).</w:t>
      </w:r>
    </w:p>
    <w:p>
      <w:r>
        <w:t>1.2Â Â Â Â  Im Zeitpunkt des Todes von G.___ war der mit der 1. Revision eingefÃ¼gte Art. 20a des Bundesgesetzes Ã¼ber die berufliche Alters-, Hinterlassenen- und Invalidenvorsorge (BVG), der die Bedingungen festlegt, unter denen die Vorsorgeeinrichtungen Hinterlassenenleistungen an begÃ¼nstigte Personen ausrichten kÃ¶nnen, noch nicht in Kraft getreten. Als Anspruchsgrundlage kommt somit einzig das Reglement der Beklagten in Betracht. Dieses enthÃ¤lt unter dem Titel "Todesfallkapital an nicht rentenberechtigte Ehegatten und andere BegÃ¼nstigte" in Art. 42.1 folgende Regelung zur BegÃ¼nstigungsordnung im Todesfall (Urk. 11/4):</w:t>
      </w:r>
    </w:p>
    <w:p>
      <w:r>
        <w:t>"Stirbt ein Versicherter, Alters- oder Invalidenrentner, der keinen Ehegatten mit Rentenanspruch gemÃ¤ss Art. 39.1 hinterlÃ¤sst, dann haben die folgenden, nacheinander bezugsberechtigten Personen in folgender Reihenfolge Anspruch auf das Todesfallkapital:</w:t>
      </w:r>
    </w:p>
    <w:p>
      <w:r>
        <w:t>1.Â  der Ã¼berlebende Ehegatte; bei dessen Fehlen</w:t>
      </w:r>
    </w:p>
    <w:p>
      <w:r>
        <w:t>2.Â  die Kinder;</w:t>
      </w:r>
    </w:p>
    <w:p>
      <w:r>
        <w:rPr>
          <w:b/>
        </w:rPr>
        <w:t>E. 3</w:t>
      </w:r>
    </w:p>
    <w:p>
      <w:r>
        <w:t>Â  Personen, die vom Verstorbenen in den letzten Jahren vor seinem Tod in erheblichem Mass unterstÃ¼tzt worden sind oder die Person, die mit dem gestorbenen Versicherten oder Rentner in den letzten fÃ¼nf Jahren bis zu seinem Tod ununterbrochen eine Lebensgemeinschaft gefÃ¼hrt hat oder fÃ¼r den Unterhalt eines oder mehrere gemeinsamer Kinder aufkommen muss;</w:t>
      </w:r>
    </w:p>
    <w:p>
      <w:r>
        <w:rPr>
          <w:b/>
        </w:rPr>
        <w:t>E. 3.1</w:t>
      </w:r>
    </w:p>
    <w:p>
      <w:r>
        <w:t>Entgegen ihren AusfÃ¼hrungen im Schreiben vom 29. Juni 2004 macht die Beklagte zu Recht nicht mehr geltend, dass die Ausrichtung des Todesfallkapitals an die KlÃ¤gerin gemÃ¤ss dem im Jahre 2003 gÃ¼ltig gewesenen Reglement der Beklagten nur mÃ¶glich ist, wenn eine BegÃ¼nstigungserklÃ¤rung der verstorbenen Versicherungsnehmerin vorliegt. Eine solche verlangt das Reglement in Art. 42.3 (in der im Jahre 2003 gÃ¼ltigen Fassung, Urk. 2/5 und Urk. 11/4) nur, wenn es sich dabei um den begÃ¼nstigten Lebenspartner handelt. Bei diesem wird vorausgesetzt, dass er mit der verstorbenen Person in den letzten fÃ¼nf Jahren vor dem Tod ununterbrochen eine Lebensgemeinschaft gefÃ¼hrt hat, nicht aber, dass er von der verstorbenen Person in erheblichem Mass unterstÃ¼tzt worden ist. Nachdem es sich um zwei unterschiedliche Sachverhalte handelt und das Reglement die Mindestdauer von fÃ¼nf Jahren nur beim Konkubinatspartner verlangt, kann aus der Systematik des Reglements nicht gefolgert werden, dass die erhebliche UnterstÃ¼tzung ebenfalls mindestens fÃ¼nf Jahre gedauert haben muss. Dass diesbezÃ¼glich eine Gleichstellung zu erfolgen hat, erscheint nicht zwingend, da unterschiedliche Voraussetzungen (Lebensgemeinschaft bzw. erhebliche UnterstÃ¼tzung) zur BegÃ¼nstigung der entsprechenden Person fÃ¼hren.</w:t>
      </w:r>
    </w:p>
    <w:p>
      <w:r>
        <w:t>3.2Â Â Â Â  Es ist unbestritten, dass der im Reglement nicht nÃ¤her umschriebene Begriff der "UnterstÃ¼tzung in erheblichem Masse" grundsÃ¤tzlich auslegungsbedÃ¼rftig ist. So gehen die Parteien richtigerweise Ã¼bereinstimmend davon aus, dass die UnterstÃ¼tzung finanzieller Natur zu sein hat, sind sich aber nicht einig darÃ¼ber, welche Voraussetzungen gegeben sein mÃ¼ssen, damit diese UnterstÃ¼tzung das geforderte erhebliche Mass erreicht. Jedenfalls klar ist in diesem Zusammenhang, dass der Umstand alleine nicht genÃ¼gen kann, dass die Versicherte der begÃ¼nstigten Person in den Jahren vor ihrem Tod eine grÃ¶ssere Summe gezahlt hat, sondern zusÃ¤tzliche qualifizierende Merkmale erfÃ¼llt sein mÃ¼ssen.</w:t>
      </w:r>
    </w:p>
    <w:p>
      <w:r>
        <w:t>3.3Â Â Â Â  Das EidgenÃ¶ssische Versicherungsgericht behandelt die Formulierungen "fÃ¼r den Unterhalt in massgeblicher Weise aufkommen" und "UnterstÃ¼tzung in erheblichem Masse", wie sie im Zusammenhang mit der vor Inkrafttreten von Art. 20a BVG ausschliesslich dem Ã¼berobligatorischen Bereich vorbehaltenen BegÃ¼nstigung von Hinterbliebenen in einzelnen Reglementen und Gesetzen verwendet werden, als analoge Begriffe und bezieht sich fÃ¼r deren Auslegung auf Art. 15 Abs. 1 lit. b Ziff. 2 der FreizÃ¼gigkeitsverordnung (FZV, bis Ende 2004 gÃ¼ltig gewesene Fassung) und Art. 2 Abs. 1 lit. b Ziff. 2 der Verordnung Ã¼ber die steuerliche Abzugsberechtigung fÃ¼r BeitrÃ¤ge an anerkannte Vorsorgeformen (BVV 3, bis Ende 2004 gÃ¼ltig gewesene Fassung) sowie auf Art. 6 Abs. 1 lit. b Ziff. 2 der frÃ¼heren Verordnung Ã¼ber die Erhaltung des Vorsorgeschutzes vom 12. November 1986 und die diesbezÃ¼gliche Mitteilung des BSV Ã¼ber die berufliche Vorsorge vom 22. April 1987 (Urteil i.S. X. + Y. des EidgenÃ¶ssischen Versicherungsgerichts vom 19. November 2004, Erw. 5.1).</w:t>
      </w:r>
    </w:p>
    <w:p>
      <w:r>
        <w:t>Â Â Â Â Â Â Â Â  Diese Erlasse kÃ¶nnen bei der Auslegung des Reglements und der darin enthaltenen Formulierung "Personen, die vom Verstorbenen in den letzten Jahren in erheblichem Mass unterstÃ¼tzt worden sind" nicht unberÃ¼cksichtigt bleiben, stiess doch die EinfÃ¼hrung eines Leistungsanspruchs fÃ¼r nicht verheiratete Partner bis zur 1. BVG-Revision auf Schwierigkeiten, die primÃ¤r steuerrechtlicher Natur waren. So engte die Bundessteuerverwaltung den Kreis mÃ¶glicher Anspruchsberechtigter ein, indem nur solche Personen fÃ¼r Leistungen der beruflichen Vorsorge begÃ¼nstigt werden konnten, die vom Vorsorgenehmer im Zeitpunkt seines Todes oder in den letzten Jahren vor seinem Tod in erheblichem Masse unterstÃ¼tzt worden waren (Stauffer, a.a.O., Rz. 701 mit Hinweis auf Kreisschreiben der EidgenÃ¶ssischen Steuerverwaltung Nr. 1 vom 30. Januar 1986 und Nr. 1a vom 20. August 1986).</w:t>
      </w:r>
    </w:p>
    <w:p>
      <w:r>
        <w:t>Â Â Â Â Â Â Â Â  Nicht zur Anwendung kommt vorliegend die Regelung, wonach mehrdeutige Wendungen in vorformulierten Vertragsbedingungen im Zweifel zu Lasten ihres Verfassers auszulegen sind, wÃ¼rde sich doch eine Auslegung zu Gunsten der KlÃ¤gerin nicht zu Lasten der Beklagten, sondern zu Lasten der in der BegÃ¼nstigtenordnung weiter hinten stehenden Personen auswirken.</w:t>
      </w:r>
    </w:p>
    <w:p>
      <w:r>
        <w:t>3.4Â Â Â Â  Nach Art. 2 der gestÃ¼tzt auf Art. 82 Abs. 2 BVG ergangenen BVV 3 in der bis Ende 2004 gÃ¼ltig gewesenen Fassung sind als BegÃ¼nstigte nach dem Ableben des Vorsorgenehmers nach dem Ã¼berlebenden Ehegatten unter anderem Personen zugelassen, fÃ¼r deren Unterhalt der Verstorbene in massgeblicher Weise aufgekommen ist (Abs. 1 lit. b Ziff. 2). Der Vorsorgenehmer hat das Recht, die Reihenfolge der BegÃ¼nstigten zu Ã¤ndern und deren AnsprÃ¼che nÃ¤her zu bezeichnen (Abs. 2).</w:t>
      </w:r>
    </w:p>
    <w:p>
      <w:r>
        <w:t>Â Â Â Â Â Â Â Â  Art. 15 FZV in der bis Ende 2004 gÃ¼ltig gewesene Fassung hÃ¤lt fest, dass fÃ¼r die Erhaltung des Vorsorgeschutzes als BegÃ¼nstigte im Todesfall an erster Stelle die Hinterlassenen nach BVG und der Witwer (Abs. 1 lit. b Ziff. 1), an zweiter Stelle natÃ¼rliche Personen, die von den Versicherten in erheblichem Masse unterstÃ¼tzt worden sind (Abs. 1 lit. b Ziff. 2), und an dritter Stelle Ã¼brige gesetzliche Erben, unter Ausschluss des Gemeinwesens, gelten (Abs. 1 lit. b Ziff. 3). Die Versicherten kÃ¶nnen im Vertrag die AnsprÃ¼che der BegÃ¼nstigten nÃ¤her bezeichnen und den Kreis von Personen nach Abs. 1 lit. b Ziff. 1 mit solchen nach Ziff. 2 erweitern (Abs. 2).</w:t>
      </w:r>
    </w:p>
    <w:p>
      <w:r>
        <w:t>Â Â Â Â Â Â Â Â  Die Mitteilung des BSV Ã¼ber die berufliche Vorsorge vom 22. April 1987 bezieht sich auf den damaligen, mit dem FreizÃ¼gigkeitsgesetz aufgehobenen Art. 29 Abs. 4 BVG, auf Art. 6 Abs. 1 lit. b Ziff. 2 der mit Art. 21 der FZV aufgehobenen Verordnung Ã¼ber die Erhaltung des Vorsorgeschutzes und FreizÃ¼gigkeit sowie auf Art. 82 BVG und Art. 2 Abs. 1 lit. b Ziff. 2 BVV 3 in der bis Ende 2004 gÃ¼ltig gewesenen Fassung. Es wird darin festgehalten, dass als BegÃ¼nstigte auch Personen gelten, die vom Vorsorgenehmer in erheblichem Masse unterstÃ¼tzt worden sind beziehungsweise fÃ¼r deren Unterhalt er in massgeblicher Weise aufgekommen ist. Dieses Kriterium wÃ¼rden nicht nur diejenigen FÃ¤lle erfÃ¼llen, in denen eine UnterstÃ¼tzungspflicht im Sinne von Art. 328 des Zivilgesetzbuches (ZGB) bestehe. Es kÃ¤men auch andere Sachverhalte in Frage, in denen eine tatsÃ¤chliche UnterstÃ¼tzung vorliege. Dabei mÃ¼sse der Vorsorgenehmer gegenÃ¼ber dem BegÃ¼nstigten die Funktion des Versorgers haben. Dies kÃ¶nne dann angenommen werden, wenn jener fÃ¼r mehr als die HÃ¤lfte des Unterhaltes der unterstÃ¼tzten Person aufkomme. Auf jeden Fall mÃ¼sse es sich beim BegÃ¼nstigten um eine Person handeln, die wirtschaftlich und nicht bloss ideell vom Vorsorgenehmer abhÃ¤ngig sei. Dies treffe dann zu, wenn dem Anspruchsberechtigten eine wesentliche BeeintrÃ¤chtigung seiner bisherigen Lebensweise drohe. Er solle im Rahmen des Ãblichen so weiterleben kÃ¶nnen wie bisher. Im Weiteren mÃ¼sse es sich um eine regelmÃ¤ssige UnterstÃ¼tzung handeln. Ob der Konkubinatspartner BegÃ¼nstigter sein kÃ¶nne, hÃ¤nge somit auch von der Dauer des Konkubinates ab.</w:t>
      </w:r>
    </w:p>
    <w:p>
      <w:r>
        <w:t>Â Â Â Â Â Â Â Â  Zur Auslegung des Begriffs der erheblichen UnterstÃ¼tzung hielt das EidgenÃ¶ssische Versicherungsgericht im unverÃ¶ffentlichten Urteil vom 2. Juli 1997, B 34/96, fest, die blosse Teilung der gemeinsamen Lebenshaltungskosten spreche nicht fÃ¼r eine erhebliche UnterstÃ¼tzung (SZS 1998 72).</w:t>
      </w:r>
    </w:p>
    <w:p>
      <w:r>
        <w:t>Â Â Â Â Â Â Â Â  Aus diesem Entscheid liess sich indes laut dem unter BGE 131 V 27 ff. verÃ¶ffentlichten Urteil vom 19. November 2004, B 96/02, nicht der Schluss ziehen, eine UnterstÃ¼tzung kÃ¶nne nur dann als "massgeblich" beziehungsweise "erheblich" betrachtet werden, wenn der Vorsorgenehmer fÃ¼r mehr als die HÃ¤lfte des Unterhalts der unterstÃ¼tzten Person aufkomme. Vielmehr lasse sich daraus nur folgern, dass im Falle einer Haushaltgemeinschaft der verstorbene Vorsorgenehmer mehr als die Ã¼brigen Beteiligten zur Bestreitung der gemeinsamen Lebenshaltungskosten beigetragen haben mÃ¼sse. Um wie viel hÃ¶her dieser Beitrag des Vorsorgenehmers auszufallen habe, damit von einer "UnterstÃ¼tzung in erheblichem Masse" gesprochen werden kÃ¶nne, lasse sich dem in SZS 1998 72 wiedergegebenen Urteil nicht entnehmen. Das EidgenÃ¶ssische Versicherungsgericht liess offen, ob der verstorbene Vorsorgenehmer tatsÃ¤chlich fÃ¼r mehr als die HÃ¤lfte des Unterhalts der unterstÃ¼tzten Person aufkommen mÃ¼sse, oder ob es bereits genÃ¼ge, dass er im Vergleich zur mit ihm im selben Haushalt lebenden Person einen Ã¼berwiegenden Beitrag an die gemeinsamen Lebenshaltungskosten zu leisten hat (BGE 131 V 31 f. Erw. 5.1). Im Hinblick auf den Vorsorgezweck komme eine Besserstellung einzelner Vertreter der im Personalvorsorgereglement bezeichneten Personengruppen von vornherein nur in Frage, wenn der Vorsorgenehmer im Zeitpunkt des Todes gegenÃ¼ber der zu begÃ¼nstigenden Person die Stellung eines Versorgers innegehabt habe. Dies sei dann der Fall, wenn der bisher unterstÃ¼tzten Person durch den Tod des Versicherten in finanzieller Hinsicht eine wesentliche BeeintrÃ¤chtigung ihrer gewohnten Lebensweise drohe, was sich in erster Linie nach den wirtschaftlichen VerhÃ¤ltnissen der versicherten - allenfalls auch nach denjenigen der zu begÃ¼nstigenden - Person bemesse (BGE 131 V 33 f. Erw. 5.2).</w:t>
      </w:r>
    </w:p>
    <w:p>
      <w:r>
        <w:t>4.</w:t>
      </w:r>
    </w:p>
    <w:p>
      <w:r>
        <w:t>4.1Â Â Â Â  Die verstorbene Versicherte beseitigte primÃ¤r die finanziellen Schwierigkeiten der KlÃ¤gerin. Dass sie der KlÃ¤gerin dauerhaft ein Leben in Geruhsamkeit und in einer gewissen materiellen Sicherheit ermÃ¶glichen wollte, lÃ¤sst sich aber nicht feststellen. HÃ¤tte sie dies gewollt, hÃ¤tte sie die KlÃ¤gerin entsprechend in ihrem Testament begÃ¼nstigen kÃ¶nnen. Wie sich aus dem Brief der KlÃ¤gerin an G.___ vom 28. Juni 2002 (Urk. 2/24) ergibt, war diese wohl immer wieder dazu bereit, der KlÃ¤gerin bei ihren finanziellen Schwierigkeiten zu helfen. Sie war aber der Meinung, die KlÃ¤gerin und ihr Ehemann mÃ¼ssten letztlich selbst "zum Schlamassel raus" kommen und in der Lage sein, ihren Lebensunterhalt eigenstÃ¤ndig zu bestreiten. Daraus lÃ¤sst sich schliessen, dass G.___ gegenÃ¼ber der KlÃ¤gerin keine Versorgerfunktion inne hatte, sondern lediglich aus einer vorÃ¼bergehenden Notlage helfen wollte. Dass diese Notlage Ã¼ber den Tod der Versicherten hinaus andauerte, vermag daran nichts zu Ã¤ndern.</w:t>
      </w:r>
    </w:p>
    <w:p>
      <w:r>
        <w:t>4.2Â Â Â Â  Keine Unterhaltsleistungen zu Gunsten der KlÃ¤gerin sind Investitionen in das GeschÃ¤ft des Ehemannes. Die KlÃ¤gerin lÃ¤sst in diesem Zusammenhang geltend machen, G.___ habe nicht in das GeschÃ¤ft des Ehemannes investiert, sondern dessen Schulden beglichen, damit dieser in der Lage sei, den Unterhalt seiner Familie zu bestreiten. Die Versicherte ist aber offensichtlich davon ausgegangen, dass der Ehemann in der Lage ist, dies zukÃ¼nftig alleine zu tun und nicht wieder neue Schulden anhÃ¤uft, welche sie zu Ã¼bernehmen hat. Selbst wenn die KlÃ¤gerin indirekt davon profitiert, sind die Voraussetzungen der wesentlichen UnterstÃ¼tzung im Sinne des Reglements nicht erfÃ¼llt, wenn es darum geht, eine grundsÃ¤tzlich unrentable Firma des Ehemannes zu finanzieren. Diesfalls lÃ¤sst sich das Ziel der Beibehaltung des bisherigen Lebensstandards nÃ¤mlich in erster Linie durch die Aufgabe des entsprechenden GeschÃ¤fts realisieren und nicht durch die Abdeckung weiterer Verluste.</w:t>
      </w:r>
    </w:p>
    <w:p>
      <w:r>
        <w:t>Â Â Â Â Â Â Â Â  Zu beachten ist deshalb, dass ein rechter Teil der finanziellen Zuwendungen von G.___ nicht die KlÃ¤gerin selbst, sondern deren Ehemann betraf. Die KlÃ¤gerin lÃ¤sst in diesem Zusammenhang geltend machen, dies umfasse lediglich rund Fr. 80'000.-- der gesamten Zuwendungen von rund Fr. 300'000.--. GemÃ¤ss ihren AusfÃ¼hrungen zu den einzelnen Zahlungen sind jedoch folgende BetrÃ¤ge zu Gunsten des Ehemannes geleistet worden:</w:t>
      </w:r>
    </w:p>
    <w:p>
      <w:r>
        <w:t>Â· Fr. 19'000.-- zur Ausgleichung des Kontokorrentkontos des Ehemanns der KlÃ¤gerin am 25. Mai 2001 (Urk. 2/16)</w:t>
      </w:r>
    </w:p>
    <w:p>
      <w:r>
        <w:t>Â· Fr. 1'500.-- fÃ¼r die Anschaffung eines Personalcomputers fÃ¼r den Ehemann der KlÃ¤gerin zwecks Aufnahme einer selbstÃ¤ndigen ErwerbstÃ¤tigkeit am 28. Juni 2001 (Urk. 2/17)</w:t>
      </w:r>
    </w:p>
    <w:p>
      <w:r>
        <w:t>Â· Fr. 5'000.-- zur Begleichung einer den Ehemann der KlÃ¤gerin betreffenden Materialrechnung am 14. September 2001 (Urk. 2/18)</w:t>
      </w:r>
    </w:p>
    <w:p>
      <w:r>
        <w:t>Â· Fr. 40'000.-- zur Begleichung von GeschÃ¤ftsschulden des Ehemannes am 8. Januar 2002 (Urk. 2/19)</w:t>
      </w:r>
    </w:p>
    <w:p>
      <w:r>
        <w:t>Â· Fr. 28'000.-- zur Bezahlung von Lieferantenrechnungen der Firma des Ehemannes am 8. Juli 2002 (Urk. 2/25)</w:t>
      </w:r>
    </w:p>
    <w:p>
      <w:r>
        <w:t>Â· Fr. 5'000.-- zur Bezahlung von Lieferantenrechnungen des Ehemannes und weiterer Rechnungen der KlÃ¤gerin am 20. August 2002 (Urk. 2/29-30)</w:t>
      </w:r>
    </w:p>
    <w:p>
      <w:r>
        <w:t>Â· Fr. 5'000.-- fÃ¼r den Kauf eines Fahrzeuges fÃ¼r den Ehemann der KlÃ¤gerin am 24. MÃ¤rz 2003 (Urk. 2/37)</w:t>
      </w:r>
    </w:p>
    <w:p>
      <w:r>
        <w:t>Â· Fr. 2'000.-- fÃ¼r Reparaturen am Fahrzeug des Ehemannes am 20. Mai 2003 (Urk. 2/38-39).</w:t>
      </w:r>
    </w:p>
    <w:p>
      <w:r>
        <w:t>Â Â Â Â Â Â Â Â  Dies ergibt den Betrag von rund Fr. 100'000.--. Zudem ist zu berÃ¼cksichtigen, dass im von der KlÃ¤gerin geltend gemachten Gesamtbetrag von Fr. 300'000.-- die rund Fr. 65'000.-- enthalten sind, welche aus dem Nachlass beglichen worden sind. Diese Zahlung erfolgte ebenfalls zu Gunsten des Ehemannes und ist nicht in den Jahren vor dem Tod der Versicherten, sondern erst danach erbracht worden. Ausserdem ist anzumerken, dass die Sicherstellung einer Schuld fÃ¼r einen Dritten zwar eine UnterstÃ¼tzungsleistung darstellt, es kann aber nicht davon ausgegangen werden, dass G.___ diese Schuld effektiv begleichen wollte. Vielmehr hat die Versicherte dem Ehemann lediglich die KreditgewÃ¤hrung von dritter Seite ermÃ¶glicht, in der Annahme, dass der Ehemann selber dafÃ¼r aufkommen werde. HÃ¤tte sie die Absicht gehabt, die Fr. 65'000.-- an den Ehemann der KlÃ¤gerin zu bezahlen, hÃ¤tte sie dies direkt tun kÃ¶nnen. BezÃ¼glich dieses Betrages liegt keine willentliche UnterstÃ¼tzung vor.</w:t>
      </w:r>
    </w:p>
    <w:p>
      <w:r>
        <w:t>Â Â Â Â Â Â Â Â  Auch die Behauptung, mit Hilfe des eingereichten Postempfangsscheinbuches (Urk. 19/1) lasse sich beweisen, dass beispielsweise die am 20. Oktober 2000 Ã¼bergebenen Fr. 38'200.-- weitgehend den Haushalt und weitere zum Lebensunterhalt der Eheleute A.___ gehÃ¶rende Verpflichtungen betroffen hÃ¤tten, trifft nicht zu, befinden sich doch unter den am 20. Oktober 2000 geleisteten Zahlungen von insgesamt rund Fr. 37'000.-- die Kosten fÃ¼r die AuflÃ¶sung des Leasings und den Kauf eines anderen Autos, fÃ¼r welche die KlÃ¤gerin bereits am 16. Oktober 2000 Fr. 18'000.-- erhalten hat. Die Alimentenzahlung von Fr. 2'000.-- betrifft sodann eindeutig den Ehemann und dient nicht dem Unterhalt der KlÃ¤gerin. Bei den Zahlungen von Fr. 5'045.-- an das Grundbuchamt L.___ sowie von Fr. 3'592.60 fÃ¼r die Steuern aus dem Jahr 1999 und Fr. 4'103.65 fÃ¼r das Jahr 2000 handelt es sich nicht um alltÃ¤gliche Zahlungen des Haushaltes.</w:t>
      </w:r>
    </w:p>
    <w:p>
      <w:r>
        <w:t>4.3Â Â Â Â  G.___ unterstÃ¼tzte die KlÃ¤gerin zwar relativ hÃ¤ufig, trotzdem kam es nicht zu regelmÃ¤ssigen Zahlungen, sondern diese beschrÃ¤nkten sich immer nur darauf, entstandene FinanzlÃ¶cher zu stopfen oder einzelne Anschaffungen zu bezahlen, wobei im Jahre 2003 lediglich noch Fr. 14'500.-- gezahlt wurden. Soweit die Versicherte Ã¼berhaupt einen Ã¼berwiegenden Teil der Lebenshaltungskosten der KlÃ¤gerin bestritten hat, was nicht als bewiesen erscheint, war dies nur vorÃ¼bergehender Natur. Es ist nicht ersichtlich, dass sich G.___ dazu entschlossen hÃ¤tte, regelmÃ¤ssig und dauerhaft den Ã¼berwiegenden Teil der Lebenshaltungskosten der KlÃ¤gerin zu bestreiten.Â</w:t>
      </w:r>
    </w:p>
    <w:p>
      <w:r>
        <w:rPr>
          <w:b/>
        </w:rPr>
        <w:t>E. 4</w:t>
      </w:r>
    </w:p>
    <w:p>
      <w:r>
        <w:t>Â  die Eltern;</w:t>
      </w:r>
    </w:p>
    <w:p>
      <w:r>
        <w:rPr>
          <w:b/>
        </w:rPr>
        <w:t>E. 5</w:t>
      </w:r>
    </w:p>
    <w:p>
      <w:r>
        <w:t>Insgesamt ist somit nicht erstellt, dass die Versicherte regelmÃ¤ssig einen Ã¼berwiegenden Beitrag an die Lebenshaltungskosten der KlÃ¤gerin geleistet und die Versorgerrolle Ã¼bernommen hat. Es liegt keine UnterstÃ¼tzung in erheblichem Masse im Sinne des Reglements vor, womit die KlÃ¤gerin keinen Anspruch auf das Todesfallkapital hat. Dies fÃ¼hrt zur Abweisung der Klage.</w:t>
      </w:r>
    </w:p>
    <w:p>
      <w:r>
        <w:t>Das Gericht erkennt:</w:t>
      </w:r>
    </w:p>
    <w:p>
      <w:r>
        <w:t>1.Â Â Â Â Â Â Â Â  Die Klage wird abgewiesen.</w:t>
      </w:r>
    </w:p>
    <w:p>
      <w:r>
        <w:t>2.Â Â Â Â Â Â Â Â  Das Verfahren ist kostenlos.</w:t>
      </w:r>
    </w:p>
    <w:p>
      <w:r>
        <w:t>3. Zustellung gegen Empfangsschein an:</w:t>
      </w:r>
    </w:p>
    <w:p>
      <w:r>
        <w:t>- Rechtsanwalt Andreas Frei</w:t>
      </w:r>
    </w:p>
    <w:p>
      <w:r>
        <w:t>- Rechtsanwalt Daniel Petazzi</w:t>
      </w:r>
    </w:p>
    <w:p>
      <w:r>
        <w:t>- C.___</w:t>
      </w:r>
    </w:p>
    <w:p>
      <w:r>
        <w:t>- D.___</w:t>
      </w:r>
    </w:p>
    <w:p>
      <w:r>
        <w:t>- E.___</w:t>
      </w:r>
    </w:p>
    <w:p>
      <w:r>
        <w:t>- F.___</w:t>
      </w:r>
    </w:p>
    <w:p>
      <w:r>
        <w:t>- Bundesamt fÃ¼r Sozialversicherung</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