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BV.2005.00150 vom 26. Oktober 2006</w:t>
      </w:r>
    </w:p>
    <w:p>
      <w:r>
        <w:t>ZH Sozialversicherungsgericht, 2006-10-26, DE</w:t>
      </w:r>
    </w:p>
    <w:p>
      <w:r>
        <w:rPr>
          <w:b/>
        </w:rPr>
        <w:t xml:space="preserve">Quelle: </w:t>
      </w:r>
      <w:r>
        <w:t>https://mcp.opencaselaw.ch/entscheid/zh_sozialversicherungsgericht_BV.2005.00150</w:t>
      </w:r>
    </w:p>
    <w:p>
      <w:r>
        <w:t>FR: ZH_SOZIALVERSICHERUNGSGERICHT BV.2005.00150 du 26 octobre 2006</w:t>
      </w:r>
    </w:p>
    <w:p>
      <w:r>
        <w:t>IT: ZH_SOZIALVERSICHERUNGSGERICHT BV.2005.00150 del 26 ottobre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Zusammenfassend ist festzuhalten, dass der KlÃ¤ger Anspruch hat auf seine FreizÃ¼gigkeitsleistung, wÃ¤hrenddem er aus aktienrechtlicher Sicht ersatzpflichtig ist fÃ¼r den der Beklagten entstandenen Schaden. Nach Verrechnung der beiden Forderungen ergibt sich der Saldo von Fr. 27'841.15 zugunsten des KlÃ¤gers. DemgemÃ¤ss ist die Beklagte in teilweiser Gutheissung der Klage zu verpflichten, dem KlÃ¤ger Fr. 27'841.15 nebst Zins zu 2,5 % fÃ¼r die Zeit vom 26. September bis 17. November 2005 und zu 3,5 % seit dem 18. November 2005, sowie Zinsen zu 2,5 % auf Fr. 49'094.15 fÃ¼r die Zeit vom 1. August bis 25. September 2005 zu bezahlen.</w:t>
      </w:r>
    </w:p>
    <w:p>
      <w:r>
        <w:t>5.Â Â Â Â Â Â  GemÃ¤ss Â§ 34 Abs. 1 des Gesetzes Ã¼ber das Sozialversicherungsgericht (GSVGer) haben die Parteien auf Antrag nach Massgabe ihres Obsiegens Anspruch auf den vom Gericht festzusetzenden Ersatz der Parteikosten. Dieser wird ohne RÃ¼cksicht auf den Streitwert nach der Bedeutung der Streitsache und nach der Schwierigkeit des Prozesses bemessen. Den VersicherungstrÃ¤gern und den Gemeinwesen steht der Anspruch auf Ersatz der Parteikoten in der Regel nicht zu (Â§ 34 Abs. 2 GSVGer).</w:t>
      </w:r>
    </w:p>
    <w:p>
      <w:r>
        <w:t>Â Â Â Â Â Â Â Â  Im Verfahren der Verwaltungsgerichtsbeschwerde darf obsiegenden BehÃ¶rden oder mit Ã¶ffentlichrechtlichen Aufgaben betrauten Organisationen in der Regel keine ParteientschÃ¤digung zugesprochen werden. In Anwendung dieser Bestimmung hat das EVG der SUVA und den privaten UVG-Versicherern sowie - von SonderfÃ¤llen abgesehen - den Krankenkassen keine ParteientschÃ¤digungen zugesprochen, weil sie als Organisationen mit Ã¶ffentlichrechtlichen Aufgaben zu qualifizieren sind (BGE 112 V 361 Erw. 6 mit Hinweisen). Das hat grundsÃ¤tzlich auch fÃ¼r die TrÃ¤gerinnen oder Versicherer der beruflichen Vorsorge gemÃ¤ss BVG zu gelten (BGE 126 V 150 Erw. 4a, 118 V 169 Erw. 7, 117 V 349 Erw. 8 mit Hinweisen).</w:t>
      </w:r>
    </w:p>
    <w:p>
      <w:r>
        <w:t>Das Gericht erkennt:</w:t>
      </w:r>
    </w:p>
    <w:p>
      <w:r>
        <w:t>1.Â Â Â Â Â Â Â Â  In teilweiser Gutheissung der Klage wird die Beklagte verpflichtet, dem KlÃ¤ger Fr. 27'841.15 nebst Zins zu 2,5 % fÃ¼r die Zeit vom 26. September bis 17. November 2005 und zu 3,5 % seit dem 18. November 2005, sowie Zinsen zu 2,5 % auf Fr. 49'094.15 fÃ¼r die Zeit vom 1. August bis 25. September 2005 auf ein vom KlÃ¤ger zu bezeichnendes Vorsorge- beziehungsweise FreizÃ¼gigkeitskonto zu Ã¼berweisen. Im Mehrbetrag wird die Klage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B.___</w:t>
      </w:r>
    </w:p>
    <w:p>
      <w:r>
        <w:t>- RechtsanwÃ¤ltin Ursula Wiedmer</w:t>
      </w:r>
    </w:p>
    <w:p>
      <w:r>
        <w:t>- Bundesamt fÃ¼r Sozialversicherung</w:t>
      </w:r>
    </w:p>
    <w:p>
      <w:r>
        <w:t>Â Â Â Â Â Â Â Â Â Â Â  sowie an:</w:t>
      </w:r>
    </w:p>
    <w:p>
      <w:r>
        <w:t>- Sicherheitsfonds BVG, GeschÃ¤ftsstelle, Postfach 5032, 3001 Bern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