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BV.2005.00135 vom 31. Mai 2006</w:t>
      </w:r>
    </w:p>
    <w:p>
      <w:r>
        <w:t>ZH Sozialversicherungsgericht, 2006-05-31, DE</w:t>
      </w:r>
    </w:p>
    <w:p>
      <w:r>
        <w:rPr>
          <w:b/>
        </w:rPr>
        <w:t xml:space="preserve">Quelle: </w:t>
      </w:r>
      <w:r>
        <w:t>https://mcp.opencaselaw.ch/entscheid/zh_sozialversicherungsgericht_BV.2005.00135</w:t>
      </w:r>
    </w:p>
    <w:p>
      <w:r>
        <w:t>FR: ZH_SOZIALVERSICHERUNGSGERICHT BV.2005.00135 du 31 mai 2006</w:t>
      </w:r>
    </w:p>
    <w:p>
      <w:r>
        <w:t>IT: ZH_SOZIALVERSICHERUNGSGERICHT BV.2005.00135 del 31 maggio 2006</w:t>
      </w:r>
    </w:p>
    <w:p>
      <w:pPr>
        <w:pStyle w:val="Heading2"/>
      </w:pPr>
      <w:r>
        <w:t>Erwägungen</w:t>
      </w:r>
    </w:p>
    <w:p>
      <w:r>
        <w:rPr>
          <w:b/>
        </w:rPr>
        <w:t>E. 2</w:t>
      </w:r>
    </w:p>
    <w:p>
      <w:r>
        <w:t>2.1Â Â Â Â  GemÃ¤ss Art. 37 Abs. 1 BVG werden Alters-, Hinterlassenen- und Invalidenleistungen in der Regel als Rente ausgerichtet. Der Versicherte kann jedoch verlangen, dass ihm ein Viertel seines Altersguthabens, das fÃ¼r die Berechnung der tatsÃ¤chlich bezogenen Altersleistung massgebend ist, als einmalige Kapitalabfindung ausgerichtet wird (Art. 37 Abs. 2 BVG). Die Vorsorgeeinrichtung kann zudem in ihrem Regelement vorsehen, dass die Anspruchsberechtigten eine Kapitalabfindung an Stelle einer Alters-, Hinterlassenen- oder Invalidenrente wÃ¤hlen kÃ¶nnen (Art. 37 Abs. 4 lit. a BVG).</w:t>
      </w:r>
    </w:p>
    <w:p>
      <w:r>
        <w:t>Von Art. 37 BVG erfasst werden nur die Leistungen aus der obligatorischen beruflichen Vorsorge. Im weitergehenden Vorsorgebereich ist das RechtsverhÃ¤ltnis zwischen der Vorsorgeeinrichtung und den Versicherten ein vertragliches. Das Reglement der Vorsorgeeinrichtung stellt den vorformulierten Inhalt des Vorsorgevertrages bzw. dessen Allgemeine Bedingungen dar, denen sich der Versicherte ausdrÃ¼cklich oder durch konkludentes Verhalten unterzieht.</w:t>
      </w:r>
    </w:p>
    <w:p>
      <w:r>
        <w:t>2.2Â Â Â Â  Im Reglement der Beklagten, gÃ¼ltig ab 1. Januar 2005, (Urk. 5) wird in Art. 13 Abs. 5 festgehalten, dass die versicherte Person anstelle der ganzen Altersrente oder einer Teilrente - unter Vorbehalt der nachfolgenden reglementarischen Bestimmungen - die Auszahlung des vorhandenen Altersguthabens oder eines Teils davon in einem Betrag verlangen kann. Durch den Bezug eines einmaligen Kapitalbetrages werden der obligatorische und der Ã¼berobligatorische Teil des vorhandenen Altersguthabens gekÃ¼rzt. FÃ¼r den in Kapitalform bezogenen Teil des Altersguthabens sind alle reglementarischen AnsprÃ¼che abgegolten.</w:t>
      </w:r>
    </w:p>
    <w:p>
      <w:r>
        <w:rPr>
          <w:b/>
        </w:rPr>
        <w:t>E. 2.3</w:t>
      </w:r>
    </w:p>
    <w:p>
      <w:r>
        <w:t>GrundsÃ¤tzlich gestatten die reglementarischen Bestimmungen der Beklagten somit einen Kapitalbezug, und zwar in einem weitergehenden Ausmass, als dies durch Art. 37 Abs. 2 BVG gesetzlich vorgeschrieben ist. Danach ist die Kapitalabfindung auf einen Viertel des obligatorischen Altersguthabens begrenzt. Ein weitergehendes Recht auf Kapitalabfindung sieht Art. 37 Abs. 2 BVG ausdrÃ¼cklich nicht vor. Dass durch den Bezug eines einmaligen Kapitalbetrages aus der obligatorischen Vorsorge auch der Ã¼berobligatorische Teil nach seinem prozentualen Anteil am gesamten Altersguthaben gekÃ¼rzt wird, betrifft ausschliesslich den weitergehenden Vorsorgebereich, welcher zwischen den Parteien durch das Vorsorgereglement vertraglich geregelt ist. Die Bestimmungen von Art. 13 Abs. 5 des Reglementes verletzen daher die zwingende gesetzliche Regelung von Art. 37 Abs. 2 BVG nicht. Dem KlÃ¤ger ist es unbenommen, unter Einhaltung der reglementarischen Frist und der Zustimmung seiner Ehefrau, sein Altersguthaben als Kapitalbetrag zu beziehen. Aufgrund des Reglements nicht vorgesehen ist hingegen die MÃ¶glichkeit, sich lediglich den Ã¼berobligatorischen Teil des Altersguthabens als Kapital ausbezahlen zu lassen. Eine Verletzung der Rechtsgleichheit gegenÃ¼ber anderen Versicherten ist in dieser Regelung nicht zu erblicken (vgl. dazu Vorbringen des KlÃ¤gers in der Replik vom 6. Februar 2006, Urk. 8), da jede Vorsorgeeinrichtung in der Ausgestaltung ihrer reglementarischen Bestimmungen frei ist, sofern sie die zwingenden gesetzlichen Mindestvorschriften des BVG (Art. 6 BVG in Verbindung mit Art. 49 BVG) einhÃ¤lt.</w:t>
      </w:r>
    </w:p>
    <w:p>
      <w:r>
        <w:rPr>
          <w:b/>
        </w:rPr>
        <w:t>E. 2.4</w:t>
      </w:r>
    </w:p>
    <w:p>
      <w:r>
        <w:t>Zusammenfassend ist somit festzuhalten, dass das Reglement der Beklagten in Bezug auf die MÃ¶glichkeiten einer Kapitalauszahlung den gesetzlichen Mindestvorschriften von Art. 37 Abs. 2 BVG zu genÃ¼gen vermag. Die vom KlÃ¤ger beantragte Kapitalauszahlung lediglich des Ã¼berobligatorischen Teil seines Altersguthabens ist gemÃ¤ss den geltenden reglementarischen Bestimmungen nicht vorgesehen. Jedoch bleibt es dem KlÃ¤ger unbenommen, spÃ¤testens ein Jahr vor Erreichen des ordentlichen RÃ¼cktrittsalters bzw. spÃ¤testens ein Jahr vor dem allfÃ¤lligen vorzeitigen RÃ¼cktritt eine von seiner Ehefrau mitunterzeichnete schriftliche ErklÃ¤rung abzugeben, dass er einen Teil seines Altersguthabens als Kapitalbetrag beziehen mÃ¶chte, wobei er dann eine prozentuale KÃ¼rzung des obligatorischen sowie des Ã¼berobligatorischen Teils des vorhandenen Altersguthabens in Kauf zu nehmen hat. Die Klage ist somit vollumfÃ¤nglich abzuweisen.</w:t>
      </w:r>
    </w:p>
    <w:p>
      <w:r>
        <w:t>Das Gericht erkennt:</w:t>
      </w:r>
    </w:p>
    <w:p>
      <w:r>
        <w:t>1.Â Â Â Â Â Â Â Â  Die Klage wird abgewiesen.</w:t>
      </w:r>
    </w:p>
    <w:p>
      <w:r>
        <w:t>2.Â Â Â Â Â Â Â Â  Das Verfahren ist kostenlos.</w:t>
      </w:r>
    </w:p>
    <w:p>
      <w:r>
        <w:rPr>
          <w:b/>
        </w:rPr>
        <w:t>E. 3</w:t>
      </w:r>
    </w:p>
    <w:p>
      <w:r>
        <w:t>Zustellung gegen Empfangsschein an:</w:t>
      </w:r>
    </w:p>
    <w:p>
      <w:r>
        <w:t>- S.___</w:t>
      </w:r>
    </w:p>
    <w:p>
      <w:r>
        <w:t>- BVG-Sammelstiftung der Rentenanstalt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