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BV.2005.00107 vom 31. Mai 2006</w:t>
      </w:r>
    </w:p>
    <w:p>
      <w:r>
        <w:t>ZH Sozialversicherungsgericht, 2006-05-31, DE</w:t>
      </w:r>
    </w:p>
    <w:p>
      <w:r>
        <w:rPr>
          <w:b/>
        </w:rPr>
        <w:t xml:space="preserve">Quelle: </w:t>
      </w:r>
      <w:r>
        <w:t>https://mcp.opencaselaw.ch/entscheid/zh_sozialversicherungsgericht_BV.2005.00107</w:t>
      </w:r>
    </w:p>
    <w:p>
      <w:r>
        <w:t>FR: ZH_SOZIALVERSICHERUNGSGERICHT BV.2005.00107 du 31 mai 2006</w:t>
      </w:r>
    </w:p>
    <w:p>
      <w:r>
        <w:t>IT: ZH_SOZIALVERSICHERUNGSGERICHT BV.2005.00107 del 31 maggio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KlÃ¤gerin machte geltend, bei der Festsetzung der Invalidenrente der beruflichen Vorsorge sei von einem mutmasslich entgangenen Verdienst von Fr. 55'062.-- im Jahre 2002 auszugehen, analog der von der Unfallversicherung vorgenommenen globalen ÃberentschÃ¤digungsberechnung. Dieser Wert sei fÃ¼r das Jahr 2003 aufgrund des Nominallohnindexes (Durchschnitt Sektor 3) um 1,6 % zu erhÃ¶hen, so dass sich ein mutmasslich entgangener Verdienst von Fr. 55'943.-- ergebe. 90 % davon betrÃ¼gen Fr. 50'349.--. Nach Abzug der Renten der EidgenÃ¶ssischen Invalidenversicherung von Fr. 23'904.-- und der Renten der Unfallversicherung von Fr. 20'472.-- fÃ¼r das Jahr 2003 ergebe sich ein entgangener Verdienst von Fr. 5'973.-- im Sinne einer jÃ¤hrlich gekÃ¼rzten Invalidenrente der beruflichen Vorsorge (Urk. 4/1 S. 3 ff.).</w:t>
      </w:r>
    </w:p>
    <w:p>
      <w:r>
        <w:t>Â Â Â Â Â Â Â Â  In der Klageantwort vom 13. August 2004 (Urk. 4/6) anerkannte die Beklagte, dass hochgerechnet auf das Jahr 2003 von einem massgebenden mutmasslich entgangenen Verdienst von Fr. 55'943.-- auszugehen sei. Unter BerÃ¼cksichtigung, dass die Invalidenleistungen zu kÃ¼rzen seien, soweit sie zusammen mit anderen anrechenbaren EinkÃ¼nften 90 % des mutmasslich entgangenen Verdienstes Ã¼bersteigen (vgl. Art. 9 Ziff. 2 Abs. 2 des Vorsorgereglements in Verbindung mit Art. 24 Abs. 1 der Verordnung Ã¼ber die berufliche Alters-, Hinterlassenen- und Invalidenvorsorge, BVV 2), und unter Abzug der Renten der EidgenÃ¶ssischen Invalidenversicherung von Fr. 23'904.-- und derjenigen der Unfallversicherung von Fr. 20'472.--, fÃ¼hre dies zu einem im Jahre 2003 tatsÃ¤chlich entgangenen jÃ¤hrlichen Verdienst beziehungsweise einer jÃ¤hrlichen Invalidenrente von Fr. 5'973.--.</w:t>
      </w:r>
    </w:p>
    <w:p>
      <w:r>
        <w:t>2.2Â Â Â Â  Aus den Akten ergeben sich keine Hinweise, dass die Annahme eines mutmasslich entgangenen Verdienstes von Fr. 55'943.-- im Jahre 2003 offensichtlich falsch wÃ¤re. Der anrechenbare entgangene Verdienst betrÃ¤gt somit Fr. 50'349.-- (90 % von Fr. 55'943.--). Nach Abzug der jÃ¤hrlichen Renten der EidgenÃ¶ssischen Invalidenversicherung von Fr. 23'904.-- und der Unfallversicherung von Fr. 20'472.-- ergibt dies mit Wirkung ab 1. Januar 2003 einen Anspruch der KlÃ¤gerin auf eine jÃ¤hrliche Invalidenrente der beruflichen Vorsorge von Fr. 5'973.--, was in diesem Punkt zur Gutheissung der Klage fÃ¼hrt.</w:t>
      </w:r>
    </w:p>
    <w:p>
      <w:r>
        <w:rPr>
          <w:b/>
        </w:rPr>
        <w:t>E. 3</w:t>
      </w:r>
    </w:p>
    <w:p>
      <w:r>
        <w:t>3.1Â Â Â Â  Laut Art. 8 Ziff. 5 lit. a des Vorsorgereglements (Urk. 3/1) werden Witwen- und Invalidenrenten frÃ¼hestens nach einer Laufzeit von drei Jahren auf Beginn des folgenden Kalenderjahres der Teuerung angepasst. Die Anpassung erfolgt aufgrund der gesetzlichen Vorschriften.</w:t>
      </w:r>
    </w:p>
    <w:p>
      <w:r>
        <w:t>3.2Â Â Â Â  Da der Rentenanspruch am 1. Januar 2003 beginnt, ist die Rente frÃ¼hestens per 1. Januar 2006 der Teuerung anzupassen, weshalb die Klage in diesem Punkt abzuweisen ist.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Michael Ausfeld</w:t>
      </w:r>
    </w:p>
    <w:p>
      <w:r>
        <w:t>- Sammelstiftung BVG der Allianz Suisse Lebensversicherungs-Gesellschaft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