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BV.2005.00065 vom 24. August 2006</w:t>
      </w:r>
    </w:p>
    <w:p>
      <w:r>
        <w:t>ZH Sozialversicherungsgericht, 2006-08-24, DE</w:t>
      </w:r>
    </w:p>
    <w:p>
      <w:r>
        <w:rPr>
          <w:b/>
        </w:rPr>
        <w:t xml:space="preserve">Quelle: </w:t>
      </w:r>
      <w:r>
        <w:t>https://mcp.opencaselaw.ch/entscheid/zh_sozialversicherungsgericht_BV.2005.00065</w:t>
      </w:r>
    </w:p>
    <w:p>
      <w:r>
        <w:t>FR: ZH_SOZIALVERSICHERUNGSGERICHT BV.2005.00065 du 24 août 2006</w:t>
      </w:r>
    </w:p>
    <w:p>
      <w:r>
        <w:t>IT: ZH_SOZIALVERSICHERUNGSGERICHT BV.2005.00065 del 24 agosto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Im Arbeitsvertrag vom 3. November 2000 (Urk. 2/7) wurde ein monatlicher Bruttolohn von Fr. 14'000.-- vereinbart. Im Ãbrigen wurde auf die beiliegenden arbeitsvertraglichen Bestimmungen verwiesen (Gehaltsreglement fÃ¼r Kadermitglieder U.____ und Bestimmung der Zielerreichung; Urk. 2/8). ErgÃ¤nzend wurde mit Schreiben vom 26. Oktober 2000 (Urk. 2/9) unter anderem folgendes festgehalten: ÂAbweichend von der Bonusregelung der zur Zeit gÃ¼ltigen Vorschrift V-BG-4.01d 'Gehaltsreglement fÃ¼r Kadermitglieder' erhalten Sie fÃ¼r die Jahre 2001, 2002, 2003 und 2004 einen Bonus von maximal je CHF 600'000.-- brutto fÃ¼r die Integration und den weiteren Aufbau der verschiedenen PharmaaktivitÃ¤ten sowie die Leitung der Pharmagesellschaft am Standort B.___. Die Zahlung des Bonus ist in jedem Jahr abhÃ¤ngig von dem</w:t>
      </w:r>
    </w:p>
    <w:p>
      <w:r>
        <w:t>- Â Â Â  Erreichen des Budgets</w:t>
      </w:r>
    </w:p>
    <w:p>
      <w:r>
        <w:t>- Â Â Â  Erreichen der Ziele gem. Businessplan, insbesondere des</w:t>
      </w:r>
    </w:p>
    <w:p>
      <w:r>
        <w:t>Â Â Â Â  - jÃ¤hrlichen Wachstums</w:t>
      </w:r>
    </w:p>
    <w:p>
      <w:r>
        <w:t>Â Â Â Â  - Halten und FÃ¶rdern des definierten SchlÃ¼sselpersonals</w:t>
      </w:r>
    </w:p>
    <w:p>
      <w:r>
        <w:t>- Â Â Â  Ausbau der Kundenbindung</w:t>
      </w:r>
    </w:p>
    <w:p>
      <w:r>
        <w:t>- Â Â Â  Sicherstellung der Zusammenarbeit im eigenen FÃ¼hrungsbereich und mit den Schwesterfirmen</w:t>
      </w:r>
    </w:p>
    <w:p>
      <w:r>
        <w:t>-Â Â Â  Erfolgreicher Umsetzung des Integrationsplans vom 12/00</w:t>
      </w:r>
    </w:p>
    <w:p>
      <w:r>
        <w:t>In den jÃ¤hrlichen Zielvereinbarungen wird konkret festgehalten, welchen Prozentanteil des Bonus welchen Jahreszielen zuzuordnen sind. Von dem o.g. jÃ¤hrlichen Bonus sind 50 % garantiert. Der Erwerb des Anspruchs ist gebunden an das Bestehen eines ungekÃ¼ndigten ArbeitsverhÃ¤ltnisses. Des weiteren erhalten Sie einen Sonderbonus fÃ¼r die o.g. Aufgaben in HÃ¶he von brutto CHF 1'000'000.--, der im Januar 2001 ausbezahlt wird. SÃ¤mtliche Zahlungen aus dieser Bonusvereinbarung unterliegen den Ã¼blichen Abgaben, insbesondere aus dem Sozialversicherungsrecht. Die BeitrÃ¤ge des Arbeitgebers bzw. Arbeitnehmers aus dem Bonus an die S.____ Pensionskasse bzw. die J.____ werden im gegenseitigen Einvernehmen bezÃ¼glich der HÃ¶he des Bonus auf maximal CHF 42'000.-- pro Jahr beschrÃ¤nkt.Â</w:t>
      </w:r>
    </w:p>
    <w:p>
      <w:r>
        <w:rPr>
          <w:b/>
        </w:rPr>
        <w:t>E. 2.2</w:t>
      </w:r>
    </w:p>
    <w:p>
      <w:r>
        <w:t>Aufgrund der arbeitsvertraglichen Bestimmungen ergibt sich der Grundsatz, dass ausbezahlte Boni bis zu BeitrÃ¤gen in HÃ¶he von Fr. 42'000.-- pro Jahr von der Beklagten 1 abzurechnen und an die Ã¼berobligatorische berufliche Vorsorge bei der Beklagten 2 zu Ã¼berweisen gewesen wÃ¤ren, zumindest im Falle eines ungekÃ¼ndigten ArbeitsverhÃ¤ltnisses. Entgegen den AusfÃ¼hrungen der Beklagten 1 in ihrer Klageantwort vom 7. November 2005 (Urk. 15, S. 4) stellt die individuelle Vereinbarung vom 26. Oktober 2000 (Urk. 2/9) sehr wohl eine Abweichung vom Gehaltsreglement fÃ¼r Kadermitglieder U.____ vom 1. Januar 1999 (Urk. 2/8) dar. Andernfalls wÃ¼rde sich denn auch die Begrenzung der BeitrÃ¤ge auf Fr. 42'000.-- in der Individualvereinbarung nicht erklÃ¤ren lassen. Offen gelassen werden kann in diesem Zusammenhang jedoch die Frage, ob diese individuelle Abmachung durch die Reglemente der Beklagten 2 gedeckt ist und dieser entgegengehalten werden kÃ¶nnte (vgl. dazu Urk. 17, Ziff. 6 ff.), da, wie sich im Folgenden zeigen wird, nicht auf die individuelle arbeitsvertragliche Regelung, sondern auf den von den Parteien nach AnhÃ¤ngigmachung der Klage am Zivilgericht B.____ abgeschlossenen Vergleich abzustellen ist.</w:t>
      </w:r>
    </w:p>
    <w:p>
      <w:r>
        <w:rPr>
          <w:b/>
        </w:rPr>
        <w:t>E. 3</w:t>
      </w:r>
    </w:p>
    <w:p>
      <w:r>
        <w:t>3.1Â Â Â Â  Ein Vergleich ist ein Vertrag, mit dem ein Streit oder eine Ungewissheit Ã¼ber ein RechtsverhÃ¤ltnis mit gegenseitigen ZugestÃ¤ndnissen beigelegt wird. Dabei ersetzen die Parteien ein bestehendes RechtsverhÃ¤ltnis hÃ¤ufig im Sinne von Art. 116 des Schweizerischen Obligationenrechts (OR) durch ein neues. Das gilt namentlich dann, wenn sie sich bei einem komplexen RechtsverhÃ¤ltnis auf eine Saldozahlung einigen, beide Parteien also auf weitere AnsprÃ¼che gegeneinander verzichten. Im Gegensatz zur blossen VertragsÃ¤nderung wird durch die Novation die IdentitÃ¤t der Forderung aufgehoben (BGE 69 II 302) und Einreden und SchwÃ¤chen, die den dadurch abgelÃ¶sten AnsprÃ¼chen anhaften, gehen in der Regel unter (BGE 105 II 277). Das streitige Recht-Pflicht-VerhÃ¤ltnis wird bereinigt. Die der alten Forderung anhaftenden Einwendungen und Einreden bestehen nicht mehr; die Forderung beruht allein auf der neugeschaffenen rechtlichen Grundlage.</w:t>
      </w:r>
    </w:p>
    <w:p>
      <w:r>
        <w:t>3.2Â Â Â Â  Im vorliegenden Fall waren nicht nur Lohnforderungen und Boni, sondern auch arbeitsrechtliche Strafzahlungen und restliche Kaufpreiszahlungen Gegenstand der beim Bezirksgericht B.___ eingereichten Klage in HÃ¶he von rund Fr. 1,7 Mio. (vgl. Urk. 2/12 in Verbindung mit Urk. 30 S. 8 Ziff. 18). Die Parteien einigten sich in der Folge auf eine Nettozahlung von Fr. 600'000.-- und erklÃ¤rten sich als vollstÃ¤ndig auseinandergesetzt (vorbehaltlich den in Ziff. 8 des Vergleichs festgehaltenen zwei Streitpunkten, welche fÃ¼r den vorliegenden Fall jedoch nicht von Bedeutung sind). In Auslegung des Vergleichs vom 20./25. Februar 2003 ist daher eindeutig von einer Novation der Schuld und einer Saldozahlung auszugehen, weshalb die arbeitsvertraglichen Abmachungen der Parteien fÃ¼r die Frage nach der Qualifikation der ausgerichteten Fr. 600'000.-- nicht mehr von Bedeutung sind und auf die diesbezÃ¼glichen Vorbringen der Parteien in den Rechtsschriften nicht weiter einzugehen ist. Durch den Vergleich zwischen den Parteien entstand eine neues Leistungsversprechen, womit eine neue Obligation begrÃ¼ndet wurde. Daneben bleibt kein Raum fÃ¼r weitere Forderungen aus dem ArbeitsverhÃ¤ltnis, welche allenfalls zu einer hÃ¶heren Lohnsumme (vgl. dazu Urk. 1, Ziff. 28) gefÃ¼hrt hÃ¤tten. Alle vorgebrachten Einreden und Einwendungen kÃ¶nnen sich nur noch auf das neue Leistungsversprechen der Beklagten 1 beziehen. Nicht weiter beantwortet zu werden braucht daher auch die Frage, ob und in welcher HÃ¶he dem KlÃ¤ger aus dem beendeten ArbeitsverhÃ¤ltnis allenfalls noch Boni zugestanden hÃ¤tten, da die Parteien mit Hilfe des Vergleichs gerade solche Unklarheiten abschliessend beseitigen wollten. Ein wesentlicher Irrtum beim Abschluss des Vergleichs im Sinne von Art. 23 OR wird im Ãbrigen vom KlÃ¤ger nicht geltend gemacht, weshalb von einem gÃ¼ltig zustandgekommenen Vergleich auszugehen ist. HÃ¤tten die damaligen Parteien, und insbesondere der KlÃ¤ger, die Vergleichssumme nÃ¤her spezifizieren wollen, hÃ¤tten sie dies im Vergleich selber anfÃ¼hren mÃ¼ssen. Im Ãbrigen war der KlÃ¤ger auch beim Abschluss des Vergleichs anwaltlich durch Dr. Johner vertreten.</w:t>
      </w:r>
    </w:p>
    <w:p>
      <w:r>
        <w:t>3.3Â Â Â Â  Der Vergleich vom 20./25. Februar 2003 (Urk. 2/12) Ã¤ussert sich in keiner Weise dazu, woraus sich der Saldobetrag von Fr. 600'000.-- konkret zusammensetzen soll. Den Beklagten ist insofern zuzustimmen (Urk. 29 Ziff. 8 und Urk. 30), dass es sich bei der Vergleichszahlung weder um einen konkreten Lohnbestandteil noch um einen zugesicherten Bonus fÃ¼r das Jahr 2001 handelt. Sogar der KlÃ¤ger selber spricht davon, dass die Zahlung eine Strafzahlung von Fr. 42'000.-- mitumfasst (Urk. 22, Ziff. 14). Auch die unter Ziff. 3 des Vergleichs festgehaltene Vereinbarung, dass allfÃ¤llige Sozialabgaben vollumfÃ¤nglich von der Beklagten 1 zu entrichten seien, vermag nichts an der Tatsache zu Ã¤ndern, dass sich die Beklagte 1 durch die Saldozahlung von jeglichen allenfalls noch bestehenden Verpflichtungen sowohl aus dem ArbeitsverhÃ¤ltnis wie auch aus dem Kaufvertrag befreien wollte, wobei gerade darauf verzichtet wurde darzulegen, welche der Forderungen in welchem Umfang von der Beklagten 1 anerkannt werden. Die neu vereinbarte Obligation erschÃ¶pft sich in diesem Sinne in der Saldovereinbarung. Die Bestimmung Ã¼ber allfÃ¤llige Sozialabgaben dÃ¼rfte denn auch dahingehend zu interpretieren sein, dass dem KlÃ¤ger die Summe von Fr. 600'000.-- netto zukommen sollte, selbst wenn allfÃ¤llige gesetzliche SozialabzÃ¼ge fÃ¤llig werden sollten, was im Bereich der obligatorischen beruflichen Vorsorge jedoch bereits aufgrund der oberen Grenze des im Jahre 2001 versicherbaren Jahreslohnes von Fr. 74'160.-- (Art. 8 Abs. 1 des Bundesgesetzes Ã¼ber die berufliche Vorsorge [BVG] in Verbindung mit Art. 5 der Verordnung Ã¼ber die berufliche Alters-, Hinterlassenen- und Invalidenvorsorge [BVV 2], in der vom 1. Januar 2001 bis 31. Dezember 2005 gÃ¼ltig gewesenen Fassung) ausser Betracht fÃ¤llt. Im weitergehenden Vorsorgebereich ist das RechtsverhÃ¤ltnis zwischen den Vorsorgeeinrichtungen, dem Arbeitgeber und der versicherten Person ein vertragliches. WÃ¤hrenddem das Reglement der Vorsorgeeinrichtung den vorformulierten Inhalt des Vorsorgevertrages darstellt, wird die Rechtsbeziehung zwischen dem Arbeitgeber und dem Arbeitnehmer ausschliesslich in einem privatrechtlichen Vertrag geregelt. Der Arbeitsvertrag des KlÃ¤gers mit der Beklagten 1 sowie dessen ErgÃ¤nzungen, welche Regelungen in Bezug auf die Ã¼berobligatorische berufliche Vorsorge enthielten, wurden durch den Vergleichsvertrag noviert. Der Vergleich vom 20./25. Februar 2003 enthÃ¤lt hingegen keine eigenstÃ¤ndigen Regelungen Ã¼ber eine Beitragserhebung im Rahmen der Ã¼berobligatorischen beruflichen Vorsorge. Eine solche Regelung ist denn auch nicht darin zu erblicken, dass die Beklagte 1 allfÃ¤llige Sozialabgaben zu tragen habe. HÃ¤tten die Parteien vereinbaren wollen, dass die Saldozahlungen als Lohnbestandteil von der Ã¼berobligatorischen beruflichen Vorsorge erfasst werden sollten, so hÃ¤tten sie dies ausdrÃ¼cklich so festhalten mÃ¼ssen, zumal auch die offene Formulierung "das heisst sollten darauf Sozialabgaben zu entrichten sein" darauf schliessen lÃ¤sst, dass die Parteien lediglich mit allfÃ¤lligen gesetzlichen Abgaben gerechnet haben, jedoch nicht von weiteren Zahlungsverpflichtungen ausgegangen sind. Bei den dem KlÃ¤ger ausgerichteten Fr. 600'000.-- handelt es sich somit um eine novierte Forderung, welche mangels entsprechender Vereinbarung nicht von der (Ã¼berobligatorischen) beruflichen Vorsorge erfasst wird, zumal auch die Reglemente der Beklagten 2 keinen beitragspflichtigen Fall von Vergleichszahlungen enthalten und beim versicherten Lohn auf das angewandte SalÃ¤rsystem der Firmen verweisen (Urk. 2/18, Art. 4 Ziff. 1). Die Beklagte 1 hat daher keinerlei BVG-BeitrÃ¤ge abzurechnen oder an die Beklagte 2 zu Ã¼berweisen.</w:t>
      </w:r>
    </w:p>
    <w:p>
      <w:r>
        <w:rPr>
          <w:b/>
        </w:rPr>
        <w:t>E. 4</w:t>
      </w:r>
    </w:p>
    <w:p>
      <w:r>
        <w:t>Zusammenfassend ist festzuhalten, dass die Klage sowohl gegen die Beklagte 1 wie auch die Beklagte 2 vollumfÃ¤nglich abzuweisen ist.</w:t>
      </w:r>
    </w:p>
    <w:p>
      <w:r>
        <w:t>Das Gericht erkennt:</w:t>
      </w:r>
    </w:p>
    <w:p>
      <w:r>
        <w:t>1.Â Â Â Â Â Â Â Â  Die Klage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Rechtsanwalt Dr. Erik Johner</w:t>
      </w:r>
    </w:p>
    <w:p>
      <w:r>
        <w:t>- Rechtsanwalt Dr. Rolf Frehner</w:t>
      </w:r>
    </w:p>
    <w:p>
      <w:r>
        <w:t>- RechtsanwÃ¤ltin Dr. Isabelle Vetter-Schreiber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