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BV.2005.00026 vom 31. Mai 2007</w:t>
      </w:r>
    </w:p>
    <w:p>
      <w:r>
        <w:t>ZH Sozialversicherungsgericht, 2007-05-31, DE</w:t>
      </w:r>
    </w:p>
    <w:p>
      <w:r>
        <w:rPr>
          <w:b/>
        </w:rPr>
        <w:t xml:space="preserve">Quelle: </w:t>
      </w:r>
      <w:r>
        <w:t>https://mcp.opencaselaw.ch/entscheid/zh_sozialversicherungsgericht_BV.2005.00026</w:t>
      </w:r>
    </w:p>
    <w:p>
      <w:r>
        <w:t>FR: ZH_SOZIALVERSICHERUNGSGERICHT BV.2005.00026 du 31 mai 2007</w:t>
      </w:r>
    </w:p>
    <w:p>
      <w:r>
        <w:t>IT: ZH_SOZIALVERSICHERUNGSGERICHT BV.2005.00026 del 31 maggio 2007</w:t>
      </w:r>
    </w:p>
    <w:p>
      <w:pPr>
        <w:pStyle w:val="Heading2"/>
      </w:pPr>
      <w:r>
        <w:t>Erwägungen</w:t>
      </w:r>
    </w:p>
    <w:p>
      <w:r>
        <w:rPr>
          <w:b/>
        </w:rPr>
        <w:t>E. 1</w:t>
      </w:r>
    </w:p>
    <w:p>
      <w:r>
        <w:t>1.1Â Â Â Â  Die Beklagte ist eine nicht registrierte PersonalfÃ¼rsorgeeinrichtung im Sinne von Art. 89 bis des Zivilgesetzbuches (ZGB). Ihre GrÃ¼ndung beruht auf dem Gesamtarbeitsvertrag fÃ¼r den flexibeln AltersrÃ¼cktritt im Bauhauptgewerbe (GAV FAR; Urk. 2/3 S. 2 ff.), der zwischen dem Schweizerischen Baumeisterverband (SBV) einerseits und der Gewerkschaft Bau &amp; Industrie (GBI) sowie der Gewerkschaft SYNA andererseits am 12. November 2002 geschlossen wurde und am 1. Juli 2003 in Kraft trat.</w:t>
      </w:r>
    </w:p>
    <w:p>
      <w:r>
        <w:t>1.2Â Â Â Â  Dieser Gesamtarbeitsvertrag soll den ihm unterstellten Arbeitnehmern laut Art. 12 GAV FAR zwischen vollendetem 60. Altersjahr und dem ordentlichen AHV-Alter den AltersrÃ¼cktritt ermÃ¶glichen und finanziell abfedern.</w:t>
      </w:r>
    </w:p>
    <w:p>
      <w:r>
        <w:t>Â Â Â Â Â Â Â Â  Der GAV FAR wurde auf unbestimmte Zeit geschlossen, kann aber jeweils auf den 30. Juni eines Jahres durch die Vertragsparteien unter Einhaltung einer Frist von 6 Monaten mit eingeschriebenem Brief gekÃ¼ndigt werden, zum ersten Mal per 30. Juni 2008 (Art. 29 GAV FAR). Nebst der Umschreibung des Geltungsbereichs werden im GAV FAR unter anderem auch die Finanzierung des flexiblen AltersrÃ¼cktritts sowie die von der Stiftung als Vollzugsorgan zu erbringenden Leistungen festgelegt, und die entsprechenden gesamtarbeitsvertraglichen Bestimmungen wurden in das gleichzeitig mit dem GAV FAR in Kraft getretene Stiftungsreglement (Reglement FAR) vom 4. Juli 2003 (Urk. 2/3 S. 14 ff.) Ã¼berfÃ¼hrt. Dieses regelt den freiwilligen vorzeitigen AltersrÃ¼cktritt fÃ¼r die letzten fÃ¼nf Jahre vor dem ordentlichen AHV-Alter und dessen Finanzierung. Es sieht fÃ¼r diese Ãbergangsjahre eine finanzielle Abfederung in Form von ÃberbrÃ¼ckungsrenten, Ersatz von AHV-BeitrÃ¤gen und von Altersgutschriften BVG, zeitlich beschrÃ¤nkte ErgÃ¤nzungen der Witwen-, Witwer- und Waisenrenten sowie HÃ¤rtefallersatzleistungen vor, die sich an den vorhandenen Mitteln auszurichten haben (Art. 1, 12 Reglement FAR).</w:t>
      </w:r>
    </w:p>
    <w:p>
      <w:r>
        <w:t>1.3Â Â Â Â  Strittig ist der Anspruch des KlÃ¤gers auf eine ÃberbrÃ¼ckungsrente gemÃ¤ss Art. 13 des Reglements FAR. Aufgrund von Art. 89 bis Abs. 6 Ziff. 19 ZGB in Verbindung mit Â§ 2 Abs. 2 lit. a des Gesetzes Ã¼ber das Sozialversicherungsgericht (GSVGer) ist das hiesige Gericht zur Behandlung seiner Klage sachlich zustÃ¤ndig.</w:t>
      </w:r>
    </w:p>
    <w:p>
      <w:r>
        <w:rPr>
          <w:b/>
        </w:rPr>
        <w:t>E. 2</w:t>
      </w:r>
    </w:p>
    <w:p>
      <w:r>
        <w:t>2.1Â Â Â Â  Laut Art. 13 Abs. 1 des Reglements FAR kann der Arbeitnehmende eine ÃberbrÃ¼ckungsrente beanspruchen, wenn er kumulativ das 60. Altersjahr - vorbehÃ¤ltlich Art. 36 Abs. 1 - vollendet hat (lit. a), das ordentliche AHV-Alter noch nicht erreicht hat (lit. b), wÃ¤hrend mindestens 15 Jahren innerhalb der letzten 20 Jahre und davon die letzten sieben Jahre vor dem Leistungsbezug ununterbrochen in einem Betrieb gemÃ¤ss Geltungsbereich GAV FAR gearbeitet hat (lit. c) und die ErwerbstÃ¤tigkeit definitiv aufgibt (lit. d).</w:t>
      </w:r>
    </w:p>
    <w:p>
      <w:r>
        <w:t>Nach der Ãbergangsbestimmung von Art. 36 Abs. 1 des Reglements FAR gilt wÃ¤hrend der EinfÃ¼hrungsphase - unter Vorbehalt von Art. 10 (Weitere Massnahmen zur Sicherung des Finanzbedarfs) - die RÃ¼cktrittsmÃ¶glichkeit mit vollendetem 63. Altersjahr erstmals ab dem Inkrafttreten des Reglements, mit vollendetem 62. Altersjahr im Jahre 2004, mit vollendetem 61. Altersjahr im Jahre 2005 und mit vollendetem 60. Altersjahr im Jahre 2006.</w:t>
      </w:r>
    </w:p>
    <w:p>
      <w:r>
        <w:rPr>
          <w:b/>
        </w:rPr>
        <w:t>E. 2.2</w:t>
      </w:r>
    </w:p>
    <w:p>
      <w:r>
        <w:t>Unbestrittenermassen erfÃ¼llt der KlÃ¤ger, der im Juli 2004 62-jÃ¤hrig geworden ist und per 1. August 2004 seine ErwerbstÃ¤tigkeit definitiv aufgegeben hat, die in Art. 13 Abs. 1 des Reglements festgelegten Voraussetzungen von lit. a, b und d, namentlich das in lit. c angefÃ¼hrte Erfordernis der 15-jÃ¤hrigen Arbeit in einem Betrieb gemÃ¤ss Geltungsbereich GAV FAR innerhalb der letzten 20 Jahre. Strittig ist ausschliesslich, ob diese BetriebszugehÃ¶rigkeit auch in den letzten sieben Jahren vor dem Leistungsbezug gegeben war, wie dies in lit. c des Weiteren vorausgesetzt wird. Denn die A.___ SA hat per 31. MÃ¤rz 2003 ebenso wie zahlreiche andere Mitglieder der Fachgruppe Holzbau ihren Austritt aus dem SBV erklÃ¤rt, nachdem an dessen ausserordentlicher Generalversammlung vom 26. MÃ¤rz 2003 Art. 11.1 der Statuten, der den Austritt aus dem SBV mit eingeschriebener KÃ¼ndigung nur auf das Ende eines Kalenderjahres und unter Einhaltung einer sechsmonatigen KÃ¼ndigungsfrist zulÃ¤sst, dahingehend ergÃ¤nzt worden war, dass die Fachgruppe Holzbau Schweiz per 31. MÃ¤rz 2003 aus dem SBV austrete und Mitgliederbetriebe dieser Fachtruppe, die in diesem Zusammenhang den Austritt aus dem SBV erklÃ¤rten, dies ohne Einhaltung der KÃ¼ndigungsfrist gemÃ¤ss Art. 11.1 der Statuten ebenfalls per 31. MÃ¤rz 2003 tun kÃ¶nnten (vgl. Urk. 2/12 S. 8, Urk. 2/16).</w:t>
      </w:r>
    </w:p>
    <w:p>
      <w:r>
        <w:t>2.3Â Â Â Â  Nach Auffassung der Beklagten wurde mit dem Austritt der A.___ SA die BetriebszugehÃ¶rigkeit des KlÃ¤gers zu einem Betrieb gemÃ¤ss Geltungsbereich GAV FAR innerhalb der letzten sieben Jahre vor dem Leistungsbezug unterbrochen und ist daher die Anspruchsvoraussetzung von Art. 13 Abs. 1 lit. c Reglements FAR nicht erfÃ¼llt. Daran Ã¤ndere der formelle Ãbertritt des KlÃ¤gers zu der weiterhin im SBV verbliebenen B.___ SA nichts, habe er doch de facto bis zum AltersrÃ¼cktritt bei der A.___ SA gearbeitet.</w:t>
      </w:r>
    </w:p>
    <w:p>
      <w:r>
        <w:t>Â Â Â Â Â Â Â Â  DemgegenÃ¼ber macht der KlÃ¤ger geltend, die fehlende Mitgliedschaft der A.___ SA bleibe angesichts der von der B.___ SA ab Inkrafttreten des GAV FAR bezahlten reglementarischen BeitrÃ¤ge ohne Einfluss auf seinen Rentenanspruch, zumal die A.___ SA, bei der er weiterhin gearbeitet habe, unabhÃ¤ngig vom Austritt aus dem SBV in den Geltungsbereich des GAV FAR gefallen sei. Auch kÃ¶nne sich dieser Betrieb der bindenden Wirkung des GAV ohnehin nicht durch einen Austritt aus dem vertragsschliessenden Verband entziehen. Vorliegend sei indes der Verbandsaustritt gar nicht rechtsgÃ¼ltig geworden, da die StatutenÃ¤nderung, die diesen Ã¼berhaupt ermÃ¶glicht habe, unter Verletzung der Verfahrensbestimmungen zustande gekommen sei und der entsprechende Beschluss des SBV vom 26. MÃ¤rz 2003 gerichtlich angefochten worden sei (vgl. Urk. 1 S. 11 ff.).</w:t>
      </w:r>
    </w:p>
    <w:p>
      <w:r>
        <w:t>3.Â Â Â Â Â Â  Sowohl bei der A.___ SA als auch bei der B.___ SA handelt es sich zwar um Betriebe des Zimmereigewerbes, das gemÃ¤ss Art. 2 lit. c in betrieblicher Hinsicht dem Geltungsbereich des GAV FAR unterstellt ist. Doch wurde das fragliche Gewerbe laut Bundesratsbeschluss vom 5. Juni 2003 von der per 1. Juli 2003 beschlossenen AllgemeinverbindlicherklÃ¤rung des GAV FAR ausdrÃ¼cklich ausgenommen (Urk. 2/18 S. 27; vgl. Art. 2 Abs. 4 des Beschlusses, SR 221.215.311).</w:t>
      </w:r>
    </w:p>
    <w:p>
      <w:r>
        <w:t>Â Â Â Â Â Â Â Â  GrundsÃ¤tzlich haben demnach die normativen Bestimmungen des GAV FAR auf Seiten der bei Betrieben des Zimmereigewerbes beschÃ¤ftigten Arbeitnehmer nur Geltung fÃ¼r die Mitglieder der vertragsschliessenden Gewerkschaften, die im Dienst eines beteiligten Arbeitgebers stehen. Auf der Arbeitgeberseite sind namentlich die Mitglieder der vertragsschliessenden Arbeitgeberorganisationen vom Geltungsbereich erfasst (vgl. Vischer, Der Arbeitsvertrag, Basel 2005, 3. Auflage, S. 355). Insofern kann dem KlÃ¤ger nicht gefolgt werden, wenn er die Leistungsvoraussetzung von Art. 13 Abs. 1 lit. c GAV FAR unabhÃ¤ngig vom Austritt der A.___ SA aus dem SBV als erfÃ¼llt betrachtet, weil diese als Holzbauunternehmen objektiv in den Geltungsbereich des GAV FAR falle. Dies umso weniger, als er nicht geltend macht, einem Betrieb oder einer Arbeitnehmerkategorie angehÃ¶rt zu haben, die sich dem Geltungsbereich des GAV FAR im Sinne von Art. 3 Abs. 2 und 3 des Reglements FAR angeschlossen haben. Dass der KlÃ¤ger selber stets der Gewerkschaft GBI beziehungsweise UNIA angehÃ¶rte (vgl. Urk. 1 S. 7), Ã¤ndert angesichts der Tatsache, dass das Zimmereigewerbe von der AllgemeinverbindlicherklÃ¤rung des GAV FAR ausgenommen worden ist, nichts am Erfordernis der ZugehÃ¶rigkeit des Arbeitgebers zu einer vertragsschliessenden Arbeitgeberorganisation.</w:t>
      </w:r>
    </w:p>
    <w:p>
      <w:r>
        <w:rPr>
          <w:b/>
        </w:rPr>
        <w:t>E. 4</w:t>
      </w:r>
    </w:p>
    <w:p>
      <w:r>
        <w:t>4.1Â Â Â Â  Damit stellt sich zunÃ¤chst die Frage nach der Bedeutung des formellen Ãbertritts des KlÃ¤gers zur weiterhin dem SBV angehÃ¶renden B.___ SA. Diese bestÃ¤tigte am 1. Juli 2003, dass ihr der KlÃ¤ger ab diesem Zeitpunkt unterstellt sei, er aber bis 31. Dezember 2003 bei der A.___ SA arbeite, was es ihm ermÃ¶gliche, wichtige Baustellen unter seiner Leitung zu Ende zu fÃ¼hren. GemÃ¤ss Vereinbarung mit der A.___ SA werde diese ihr die gesetzlichen BeitrÃ¤ge fÃ¼r den KlÃ¤ger Ã¼berweisen: "ivi compreso il 4.66 % del PEAN" (Urk. 2/4). Dementsprechend figurierte der KlÃ¤ger auf der Lohnbescheinigung der B.___ SA fÃ¼r das Jahr 2003 zuhanden der Beklagten (Urk. 2/11). Lohnabrechnungen und Lohnausweis fÃ¼r den gleichen Zeitraum wurden indes von der A.___ SA ausgestellt (Urk. 13/1).</w:t>
      </w:r>
    </w:p>
    <w:p>
      <w:r>
        <w:t>4.2Â Â Â Â  Diese Unterlagen zeigen, und es wird vom KlÃ¤ger auch nicht bestritten, dass sich mit seinem formellen Ãbertritt zur B.___ SA an seiner tatsÃ¤chlichen Anstellung bei der A.___ SA nichts geÃ¤ndert hatte. Anders als in einem TemporÃ¤rarbeitsverhÃ¤ltnis, auf das er sich beruft (Urk. 18 S. 3), wurde ihm der Lohn denn auch weiterhin von seiner langjÃ¤hrigen Arbeitgeberin bezahlt. Auch arbeitete er bis unmittelbar vor dem Leistungsbezug wie bis anhin auf den Baustellen der A.___ SA. Da nach dem Wortlaut von Art. 13 Abs. 1 lit. c des Reglements FAR jedoch entscheidend gewesen wÃ¤re, dass er tatsÃ¤chlich bei der unter den Geltungsbereich des GAV FAR fallenden B.___ SA gearbeitet hÃ¤tte, konnte mit dem formellen Ãbertritt zu diesem Betrieb eine Unterbrechung der Arbeit in einem Betrieb gemÃ¤ss Geltungsbereich GAV FAR in den letzten sieben Jahren vor dem Leistungsbezug nicht verhindert werden.</w:t>
      </w:r>
    </w:p>
    <w:p>
      <w:r>
        <w:t>Â Â Â Â Â Â Â Â  Hinzu kommt, dass der formelle Ãbertritt des KlÃ¤gers zur B.___ SA erst per 1. Juli 2003 erfolgte, die A.___ SA ihren Austritt aus dem SBV aber bereits per 31. MÃ¤rz 2003 erklÃ¤rt hatte. Sollte damit deren Unterstellung unter den GAV FAR dahingefallen sein, wÃ¤re die in Art. 13 Abs. 1 lit. c des Reglements FAR vorausgesetzte BetriebszugehÃ¶rigkeit gemÃ¤ss Geltungsbereich GAV FAR in den letzten sieben Jahren vor dem Leistungsbezug angesichts der dreimonatigen LÃ¼cke bis zum Ãbertritt in die dem GAV FAR weiterhin unterstellte B.___ SA ohnehin nicht erfÃ¼llt.</w:t>
      </w:r>
    </w:p>
    <w:p>
      <w:r>
        <w:t>4.3Â Â Â Â  Der vom KlÃ¤ger hervorgehobene Umstand, dass die reglementarischen BeitrÃ¤ge an die Beklagte ab Inkrafttreten des GAV FAR Ã¼ber die B.___ SA fÃ¼r ihn bezahlt worden sind (Urk. 1 S. 7 f., 24, Urk. 18 S. 2, 6), vermag im Ãbrigen einen Anspruch auf die reglementarischen Leistungen nicht zu begrÃ¼nden. Ein solcher hÃ¤ngt nicht in erster Linie davon ab, ob und inwieweit die BeitrÃ¤ge vom Arbeitgeber der Beklagten effektiv entrichtet worden sind, sondern ob der Betrieb fÃ¼r den der KlÃ¤ger arbeitete, dem GAV FAR unterstand. Entgegen seiner Auffassung (Urk. 1 S. 22) kann auch aus Art. 89 bis Abs. 5 ZGB kein Anspruch auf reglementarische Leistungen abgeleitet werden, werden darin doch lediglich die Voraussetzungen aufgefÃ¼hrt, unter denen der StiftungsdestinatÃ¤r berechtigt ist, richterlichen Rechtsschutz gegenÃ¼ber der Stiftung in Anspruch zu nehmen (vgl. Riemer, Berner Kommentar, Bern 1981, N 35 zu Art. 89 bis ZGB).</w:t>
      </w:r>
    </w:p>
    <w:p>
      <w:r>
        <w:rPr>
          <w:b/>
        </w:rPr>
        <w:t>E. 5</w:t>
      </w:r>
    </w:p>
    <w:p>
      <w:r>
        <w:t>5.1Â Â Â Â  Da demnach weder die formelle ZugehÃ¶rigkeit des KlÃ¤gers zur B.___ SA noch die von diesem Betrieb ab Inkrafttreten des GAV FAR zu seinen Gunsten entrichteten reglementarischen BeitrÃ¤ge einen Anspruch auf eine ÃberbrÃ¼ckungsrente zu begrÃ¼nden vermÃ¶gen, bleibt zu prÃ¼fen, wie sich der von der A.___ SA per Ende MÃ¤rz 2003 erklÃ¤rte Austritt aus dem SBV auf deren Unterstellung unter den GAV FAR auswirkte.</w:t>
      </w:r>
    </w:p>
    <w:p>
      <w:r>
        <w:t>5.2Â Â Â Â  Die sich damit stellende Vorfrage nach der RechtsgÃ¼ltigkeit des per Ende MÃ¤rz 2003 erfolgten Verbandsaustritts der A.___ SA ist in dem vom KlÃ¤ger erwÃ¤hnten Zivilverfahren inzwischen letztinstanzlich insoweit entschieden worden, als das Bundesgericht mit seinem in BGE 132 III 503 publizierten Urteil vom 8. Juni 2006 (5C.67/2006; Urk. 33) den Entscheid des Obergerichts des Kantons ZÃ¼rich vom 13. Januar 2006 (Urk. 23) bestÃ¤tigt hat, das die gegen den SBV gerichtete Klage der diesem Verband angehÃ¶renden Hoch- und Tiefbau-Genossenschaft Bern gutgeheissen und den Beschluss der Generalversammlung des SBV vom 26. MÃ¤rz 2003 aufgehoben hat.</w:t>
      </w:r>
    </w:p>
    <w:p>
      <w:r>
        <w:t>Â Â Â Â Â Â Â Â  In der BegrÃ¼ndung hÃ¤lt das Bundesgericht unter anderem unter Hinweis auf Art. 17, 18.1, 21.7, 30 und 31.17 der Statuten (vgl. Urk. 2/12) sinngemÃ¤ss fest, dass die Generalversammlung, die Delegiertenversammlung, der Zentralvorstand und die Kontrollstelle Organe des SBV und die der Generalversammlung zustehenden Befugnisse unter Vorbehalt von Art. 21 der Statuten und Art. 65 Abs. 3 ZGB der Delegiertenversammlung Ã¼bertragen seien. Zu den Befugnissen der Generalversammlung gehÃ¶re die "Beschlussfassung Ã¼ber AntrÃ¤ge der Delegiertenversammlung auf Ãnderung der Statuten". Die Delegierten wÃ¼rden jÃ¤hrlich in der Regel an zwei ordentlichen und auf Einladung hin zusÃ¤tzlich an ausserordentlichen Versammlungen tagen. In ihre Befugnisse falle die "Beschlussfassung Ã¼ber einen Antrag an die Generalversammlung auf Ãnderung der Statuten". Eine schriftliche Mehrheitsentscheidung der Delegierten auf dem Korrespondenzweg, wie sie vom Zentralvorstand am 5. MÃ¤rz 2003 zur Beschlussfassung Ã¼ber den Antrag auf StatutenÃ¤nderung angeordnet worden sei, sÃ¤hen die Statuten nicht vor, und die Mehrheitsentscheidung der Delegierten auf dem Korrespondenzweg verletze Art. 66 Abs. 2 ZGB. Nach der Rechtsprechung kÃ¶nne bei dieser Sachlage von einer UngÃ¼ltigerklÃ¤rung lediglich dann abgesehen werden, wenn diese als Ã¼berspitzt formalistisch erscheine. Der blosse Umstand, dass im schriftlichen Verfahren das statutarische Quorum, welches bei einer Versammlung verlangt wird, erreicht worden sei, vermÃ¶ge den Mangel nicht zu heilen. Ob der mangelhafte Entscheid aufzuheben sei oder nicht, hÃ¤nge von der Bedeutung des Mangels und der Schwere der Verletzung ab. Dabei sei zu beachten, dass ein Zirkularbeschluss anstelle der Versammlung die Willensbildung der Delegierten in lebendiger Diskussion, in der Meinung und Gegenmeinung aufeinander stossen, verunmÃ¶gliche. Der beklagte Verband habe jedoch selber zur Betonung des korporativen Elements eine Versammlung der Delegierten und nicht eine schriftliche Umfrage vorgesehen. Deshalb habe er sich auch an diese HÃ¼rden, die er fÃ¼r die Ãnderung seiner Vereinsverfassung zur Vermeidung von Zufallsentscheiden und Ã¼berfallartigen StatutenÃ¤nderungen im Interesse der KontinuitÃ¤t gestellt habe, zu halten. Dieser Versammlungsgrundsatz dÃ¼rfe mit dem Verbot des Ã¼berspitzten Formalismus nicht in sein Gegenteil verkehrt werden. Der Umstand, dass im schriftlichen Verfahren eine Dreiviertelmehrheit der abgegebenen Stimmen erreicht worden sei, reiche fÃ¼r eine Heilung des Mangels nicht aus, zumal nicht gesagt werden kÃ¶nne, es wÃ¤re in der Versammlung kein anderes Ergebnis mÃ¶glich gewesen. Dass der Vorstand eine Versammlung angeordnet hÃ¤tte, wenn ein Achtel der Delegierten dies verlangt hÃ¤tte, Ã¤ndere daran nichts. Denn Art. 30.1 der Statuten, der dies vorsehe, spreche sich weder Ã¼ber das Quorum bei Abstimmungen noch darÃ¼ber aus, ob eine Abstimmung schriftlich durchgefÃ¼hrt werden dÃ¼rfe. Nicht massgebend sei schliesslich auch das deutliche Ergebnis der Generalversammlung, da der Antragsbeschluss der Delegiertenversammlung GÃ¼ltigkeitsvoraussetzung jeder StatutenÃ¤nderung durch die Generalversammlung sei. Ãndere die Generalversammlung die Statuten ohne entsprechenden Antrag der Delegiertenversammlung, so Ã¼berschreite sie ihre Befugnisse und beschliesse ausserhalb ihrer sachlichen ZustÃ¤ndigkeit. Der Beschluss der Generalversammlung vom 26. MÃ¤rz 2003 mÃ¼sse daher aufgehoben werden.</w:t>
      </w:r>
    </w:p>
    <w:p>
      <w:r>
        <w:t>5.3Â Â Â Â  Damit steht fest, dass die am 26. MÃ¤rz 2003 erfolgte StatutenÃ¤nderung nicht rechtsgÃ¼ltig zustande gekommen ist und ein Mitglied nach wie vor erst auf das Ende eines Kalenderjahres und unter Einhaltung einer sechsmonatigen KÃ¼ndigungsfrist aus dem SBV austreten konnte.</w:t>
      </w:r>
    </w:p>
    <w:p>
      <w:r>
        <w:t>Â Â Â Â Â Â Â Â  Nach Auffassung der Beklagten in der Stellungnahme vom 19. MÃ¤rz 2007 (Urk. 36) ist indes trotz dieser klaren Rechtslage von einem per 31. MÃ¤rz 2003 erfolgten Verbandsaustritt der A.___ SA auszugehen, weil der SBV diesen Austritt angenommen und sie seit dem 1. April 2003 nicht mehr als Mitglied behandelt habe. Der sofortige, fristlose Austritt sei ohnehin zulÃ¤ssig gewesen, da der Abschluss des GAV FAR fÃ¼r einen Holzbaubetrieb eine grosse wirtschaftliche Belastung bedeutet habe.</w:t>
      </w:r>
    </w:p>
    <w:p>
      <w:r>
        <w:t>Â Â Â Â Â Â Â Â  Dieser Argumentation kann nicht gefolgt werden. Wohl ist ein Ausscheiden aufgrund vertraglicher Ãbereinkunft grundsÃ¤tzlich zulÃ¤ssig und kann eine solche Vereinbarung je nach den konkreten UmstÃ¤nden auch stillschweigend zustande kommen (vgl. Riemer, Berner Kommentar, Bern 1990, N 296 f. zu Art. 70 ZGB). WÃ¤re indes das Ausscheiden der Fachgruppe Holzbau beziehungsweise von einzelnen Verbandsmitgliedern aus dem SBV der vertraglichen Vereinbarung zugÃ¤nglich gewesen und wÃ¤re einer solchen nicht von vornherein Art. 34.1 der Statuten entgegengestanden, nach dem es dem Zentralvorstand unter anderem untersagt ist, bei der Beschlussfassung auf spartenbezogene Interessen RÃ¼cksicht zu nehmen, so hÃ¤tte es keiner StatutenÃ¤nderung bedurft, um den Mitgliedern der Fachgruppe Holzbau das sofortige Ausscheiden aus dem Verband zu ermÃ¶glichen. FÃ¼r die Annahme einer entsprechenden Ãbereinkunft bleibt daher kein Raum.</w:t>
      </w:r>
    </w:p>
    <w:p>
      <w:r>
        <w:t>Â Â Â Â Â Â Â Â  Dies gilt auch fÃ¼r den fristlosen Austritt aus wichtigem Grund, der nach der Gerichtspraxis zulÃ¤ssig ist, wobei ein wichtiger Grund dann vorliegt, wenn dem Mitglied ein Verbleiben im Verein nicht mehr zumutbar ist (vgl. Heini/Scherrer, Basler Kommentar ZGB I, 3. Auflage, Basel 2006, Art. 70 N 48 mit Hinweis). HÃ¤tten die Holzbaubetriebe die durch den Abschluss des GAV FAR bewirkte wirtschaftliche Belastung als unzumutbar erachtet, hÃ¤tten sie auf die StatutenergÃ¤nzung verzichten und davon unabhÃ¤ngig den fristlosen Austritt erklÃ¤ren kÃ¶nnen. Da sich die A.___ SA und die anderen Holzbaubetriebe indes fÃ¼r einen statutenkonformen Austritt entschieden haben, kann ihre AustrittserklÃ¤rung nicht nachtrÃ¤glich in einen fristlosen Austritt umgedeutet werden. Denn entsprechend der Rechtsnatur des GestaltungsgeschÃ¤fts muss die AustrittserklÃ¤rung unzweideutig sein. Bei fristlosem Austritt ist in jedem Falle eine entsprechende BegrÃ¼ndung unerlÃ¤sslich (vgl. Riemer, a.a.O., N 267 zu Art. 70 ZGB). Da ein fristloser Austritt somit von vornherein ausser Betracht fÃ¤llt, erÃ¼brigt es sich, im Rahmen der vorfrageweisen ÃberprÃ¼fung der RechtsgÃ¼ltigkeit des Austritts der A.___ SA die Frage nach der Zumutbarkeit ihres weiteren Verbleibs im SBV nÃ¤her zu prÃ¼fen.</w:t>
      </w:r>
    </w:p>
    <w:p>
      <w:r>
        <w:t>5.4Â Â Â Â  Ein Austritt der A.___ SA per 31. MÃ¤rz 2003 aus dem vertragsschliessenden Verband war demnach unzulÃ¤ssig. Ihre AustrittserklÃ¤rung entfaltete daher ihre Wirkung erst per Ende 2003 (vgl. Riemer, Berner Kommentar, Bern 1990, N 293 zu Art. 70 ZGB mit Hinweis). Damit endete grundsÃ¤tzlich auch ihre Bindung an den GAV (vgl. StÃ¶ckli, Berner Kommentar, Bern 1999, N 20 ff., N 29 zu Art. 356 OR), der laut dem vom KlÃ¤ger angefÃ¼hrten Art. 29 GAV FAR an sich frÃ¼hestens auf den 30. Juni 2008 kÃ¼ndbar war (vgl. Urk. 1 S. 21).</w:t>
      </w:r>
    </w:p>
    <w:p>
      <w:r>
        <w:t>Â Â Â Â Â Â Â Â  Dies bedeutet, dass die A.___ SA bei Inkrafttreten des GAV FAR zwar noch Mitglied des SBV war und damit auch dem Geltungsbereich dieses Gesamtarbeitsvertrages unterstand. Im Zeitpunkt des AltersrÃ¼cktritts des KlÃ¤gers Ende Juli 2004 war dies jedoch nicht mehr der Fall. Insofern Ã¤ndert die UngÃ¼ltigerklÃ¤rung der StatutenÃ¤nderung nichts daran, dass die A.___ SA unmittelbar vor Beginn der eingeklagten Ãbergangsrente nicht mehr dem vertragsschliessenden SBV angehÃ¶rte.</w:t>
      </w:r>
    </w:p>
    <w:p>
      <w:r>
        <w:t>5.5Â Â Â Â  Wenn der KlÃ¤ger sich auf die Nachwirkung des Gesamtarbeitsvertrages wÃ¤hrend mindestens eines Jahres und die entsprechenden Lehrmeinungen beruft (Urk. 1 S. 15 ff., Urk. 18 S. 10), so ist ihm darin beizupflichten, dass das Bundesgericht im Urteil vom 13. Juni 2000, 4C.7/1999, der von Vischer in einer frÃ¼heren Publikation (gemeint ist: Wirkungen des Verbandsaustritts des Arbeitgebers auf die Geltung des Gesamtarbeitsvertrags, in Zivilprozessrecht, Arbeitsrecht, Kolloquium zu Ehren von Professor Adrian Staehelin, ZÃ¼rich 1997, S. 95 ff.) vertretenen Meinung vollumfÃ¤nglich gefolgt ist und festgehalten hat, dass die normativen Wirkungen eines auf unbestimmte Zeit geschlossenen Gesamtarbeitsvertrages bis zu dessen Ablauf auf alle Arbeitgeber und alle Arbeitnehmer anwendbar sind, die an den Vertrag seit seinem Abschluss gebunden sind, und zwar auch dann, wenn sie zwischenzeitlich ihre Organisation verlassen haben.</w:t>
      </w:r>
    </w:p>
    <w:p>
      <w:r>
        <w:t>Â Â Â Â Â Â Â Â  Dies bedeutet aber nicht, dass ein Ausscheiden eines Betriebs aus dem vertragsschliessenden Verband bezÃ¼glich dessen Unterstellung unter den Geltungsbereich des Gesamtarbeitsvertrages bedeutungslos bleibt und von Dritten, namentlich der beklagten Vorsorgeeinrichtung, nicht zu beachten ist. Denn bereits dem zitierten Bundesgerichtsentscheid vom 13. Juni 2000 ist zu entnehmen, dass sich die Nachwirkung eines Gesamtarbeitsvertrages nur auf dessen normative Bestimmungen beziehen kann, Bestimmungen also, die den Abschluss, den Inhalt und die Beendigung der einzelnen ArbeitsverhÃ¤ltnisse der beteiligten Arbeitgeber und Arbeitnehmer betreffen und welche die gleiche Wirkung wie gesetzliche relativ zwingende Normen haben (vgl. Vischer, Der Arbeitsvertrag, Basel 2005, 3. erweiterte Auflage, S. 346). Aus einem neueren Bundesgerichtsentscheid, BGE 130 III 19, wird zudem deutlich, dass die Frage der Nachwirkung einzig das VerhÃ¤ltnis zwischen Arbeitgeber und Arbeitnehmer beziehungsweise zwischen einzelarbeitsvertraglichen und gesamtarbeitsvertraglichen Bestimmungen beschlÃ¤gt. Nach diesem Entscheid bilden die letzteren denn auch Inhalt des Einzelarbeitsvertrages und haben insofern nach Beendigung des Gesamtarbeitsvertrages weiterhin Geltung - dies weil die Weitergeltung des Gesamtarbeitsvertrags-Inhalts aufgrund des prÃ¤sumtiven Parteiwillens der Einzelvertragsparteien anzunehmen ist (vgl. StÃ¶ckli, a.a.O., N 33 zu Art. 356 OR). Die Durchsetzung normativer Bestimmungen geschieht in erster Linie durch den beteiligten Arbeitnehmer oder Arbeitgeber auf dem Wege der Zivilklage (vgl. Vischer, a.a.O., S. 346 f., 349).</w:t>
      </w:r>
    </w:p>
    <w:p>
      <w:r>
        <w:t>Â Â Â Â Â Â Â Â  Soweit sich aus dem GAV FAR fÃ¼r die Arbeitnehmer ein Anspruch auf Versicherungsschutz fÃ¼r den flexiblen AltersrÃ¼cktritt ergibt, kann diesem Vertrag zwar durchaus normative Wirkung zuerkannt werden. Doch hat dies keine Ausdehnung des betrieblichen Geltungsbereichs Ã¼ber den Zeitpunkt des Verbandsaustritt eines Betriebs hinaus zur Folge, sondern fÃ¼hrt hÃ¶chstens dazu, dass sich der Arbeitnehmer auch nach der durch den Verbandsaustritt bewirkten Beendigung des Gesamtarbeitsvertrages gegenÃ¼ber dem Arbeitgeber darauf berufen und allenfalls Schadenersatz fordern kann (vgl. Vischer, a.a.O. S. 351).</w:t>
      </w:r>
    </w:p>
    <w:p>
      <w:r>
        <w:t>5.6Â Â Â Â  Auch der Grundsatz der Nachwirkung der normativen Bestimmungen eines Gesamtarbeitsvertrages nach dessen Beendigung Ã¤ndert somit nichts daran, dass die A.___ SA, der Betrieb, fÃ¼r den der KlÃ¤ger bis zu seinem AltersrÃ¼cktritt tatsÃ¤chlich arbeitete, nach dem per Ende 2003 gÃ¼ltig gewordenen Verbandsaustritt nicht mehr dem Geltungsbereich des GAV-FAR unterstand. Damit steht fest, dass das Erfordernis der ZugehÃ¶rigkeit des KlÃ¤gers zu einem Betrieb gemÃ¤ss Geltungsbereich FAR in den letzten sieben Jahren unmittelbar vor dem Leistungsbezug im Sinne von Art. 13 Abs. 1 lit. c des Reglements FAR nicht erfÃ¼llt ist. Es besteht somit kein Anspruch auf eine ÃberbrÃ¼ckungsrente, weshalb die Klage abzuweisen ist.</w:t>
      </w:r>
    </w:p>
    <w:p>
      <w:r>
        <w:rPr>
          <w:b/>
        </w:rPr>
        <w:t>E. 6</w:t>
      </w:r>
    </w:p>
    <w:p>
      <w:r>
        <w:t>6.1Â Â Â Â  GemÃ¤ss Art. 73 BVG, nach dem sich laut Art. 89 bis Abs. 6 Ziff. 19 ZGB das vorliegende Verfahren richtet, ist das Verfahren in der Regel kostenlos (Abs. 2).</w:t>
      </w:r>
    </w:p>
    <w:p>
      <w:r>
        <w:t>6.2Â Â Â Â  Laut Â§ 34 des Gesetzes Ã¼ber das Sozialversicherungsgericht (GSVGer) hat die obsiegende Partei, sofern sie einen entsprechenden Antrag stellt oder dies in einem andern Gesetz vorgeschrieben ist, besteht indes Anspruch auf Ersatz der Parteikosten (Abs. 1). Den VersicherungstrÃ¤gern und den Gemeinwesen steht dieser Anspruch nur zu, soweit er von andern Gesetzen nicht ausgeschlossen ist (Abs. 2).</w:t>
      </w:r>
    </w:p>
    <w:p>
      <w:r>
        <w:t>Â Â Â Â Â Â Â Â  Art. 73 BVG schliesst einen Anspruch der obsiegenden VersicherungstrÃ¤gerin zwar nicht aus. Indes werden den TrÃ¤gerinnen der beruflichten Vorsorge gemÃ¤ss BVG beziehungsweise den mit Ã¶ffentlichrechtlichen Aufgaben betrauten Organisationen in Anlehnung an die Rechtsprechung zu Art. 159 Abs. 2 des bis Ende 2006 in Kraft gestandenen Bundesrechtspflegegesetzes (OG) praxisgemÃ¤ss keine ParteientschÃ¤digungen zugesprochen. Es besteht kein Grund, bei der Beklagten als TrÃ¤gerin der weitergehenden beruflichen Vorsorge anders zu verfahren.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 Zustellung gegen Empfangsschein an:</w:t>
      </w:r>
    </w:p>
    <w:p>
      <w:r>
        <w:t>- Rechtsanwalt Thomas Gabathuler</w:t>
      </w:r>
    </w:p>
    <w:p>
      <w:r>
        <w:t>- Streiff Pellegrini &amp; von Kaenel</w:t>
      </w:r>
    </w:p>
    <w:p>
      <w:r>
        <w:t>- Bundesamt fÃ¼r Sozialversicherungen</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