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BV.2004.00164 vom 26. Oktober 2005</w:t>
      </w:r>
    </w:p>
    <w:p>
      <w:r>
        <w:t>ZH Sozialversicherungsgericht, 2005-10-26, DE</w:t>
      </w:r>
    </w:p>
    <w:p>
      <w:r>
        <w:rPr>
          <w:b/>
        </w:rPr>
        <w:t xml:space="preserve">Quelle: </w:t>
      </w:r>
      <w:r>
        <w:t>https://mcp.opencaselaw.ch/entscheid/zh_sozialversicherungsgericht_BV.2004.00164</w:t>
      </w:r>
    </w:p>
    <w:p>
      <w:r>
        <w:t>FR: ZH_SOZIALVERSICHERUNGSGERICHT BV.2004.00164 du 26 octobre 2005</w:t>
      </w:r>
    </w:p>
    <w:p>
      <w:r>
        <w:t>IT: ZH_SOZIALVERSICHERUNGSGERICHT BV.2004.00164 del 26 ottobre 2005</w:t>
      </w:r>
    </w:p>
    <w:p>
      <w:pPr>
        <w:pStyle w:val="Heading2"/>
      </w:pPr>
      <w:r>
        <w:t>Erwägungen</w:t>
      </w:r>
    </w:p>
    <w:p>
      <w:r>
        <w:rPr>
          <w:b/>
        </w:rPr>
        <w:t>E. 1</w:t>
      </w:r>
    </w:p>
    <w:p>
      <w:r>
        <w:t>1.1Â Â Â Â  Im Zeitpunkt des Todes von B.___ war der mit der 1. Revision eingefÃ¼gte Art. 20a des Bundesgesetzes Ã¼ber die berufliche Alters-, Hinterlassenen- und Invalidenvorsorge (BVG), der die Bedingungen festlegt, unter denen die Vorsorgeeinrichtungen Hinterlassenenleistungen an begÃ¼nstigte Personen ausrichten kÃ¶nnen, noch nicht in Kraft getreten. Als Anspruchsgrundlage fÃ¼r die eingeklagten Hinterlassenenleistungen kommt somit einzig Art. 37 des Reglements in Betracht. Diese Bestimmung lautet wie folgt (Urk. 7/23 S. 14):</w:t>
      </w:r>
    </w:p>
    <w:p>
      <w:r>
        <w:t>1) An andere Personen als Ehegatten oder Waisen werden beim Tod von Versicherten oder Berechtigten auf Alters- oder Invalidenpensionen auf Gesuch hin einmalige Leistungen oder Pensionen gewÃ¤hrt. Voraussetzung ist, dass die entsprechenden Anspruchsbedingungen sinngemÃ¤ss erfÃ¼llt sind und die Verstorbenen wesentlich zum Unterhalt der Gesuchstellenden beigetragen haben.</w:t>
      </w:r>
    </w:p>
    <w:p>
      <w:r>
        <w:t>2) Die HÃ¶he der Leistungen darf jene an Ehegatten bzw. Waisen nicht Ã¼bertreffen. Pensionen kÃ¶nnen auch befristet werden.</w:t>
      </w:r>
    </w:p>
    <w:p>
      <w:r>
        <w:t>1.2Â Â Â Â  Die Beklagte geht davon aus, dass die Anspruchsvoraussetzungen von Art. 34 Abs. 1 lit. c, nach denen die Leistungen an den Ã¼berlebenden Ehegatten davon abhÃ¤ngen, dass dieser das 40. Altersjahr zurÃ¼ckgelegt und die Ehe mindestens fÃ¼nf Jahre gedauert hat, erfÃ¼llt sind. Hingegen bestreitet sie, dass der verstorbene Versicherte wesentlich zum Unterhalt der KlÃ¤gerin beigetragen habe (Urk. 6 S. 2).</w:t>
      </w:r>
    </w:p>
    <w:p>
      <w:r>
        <w:t>Dies hÃ¤ngt ihrer Auffassung nach davon ab, ob der Verstorbene gegenÃ¼ber der KlÃ¤gerin die Funktion des Versorgers hatte. Dies sei dann anzunehmen, wenn er fÃ¼r mehr als die HÃ¤lfte des Unterhalts der unterstÃ¼tzten Person aufgekommen sei. Dabei beruft sie sich auf die Mitteilungen des Bundesamtes fÃ¼r Sozialversicherungen (BSV) Ã¼ber die berufliche Vorsorge Nr. 3 vom 22. April 1987 und die darin enthaltenen AusfÃ¼hrungen zum Ausdruck ÂUnterstÃ¼tzung in erheblichem AusmassÂ. Vorliegend sei nicht erwiesen, dass der Versicherte fÃ¼r mehr als seinen hÃ¤lftigen Anteil am gemeinsamen Lebensunterhalt aufgekommen sei. Selbst wenn aufgrund der HÃ¶he der Leistungen die Versorgerfunktion des Versicherten bejaht werden kÃ¶nnte oder bereits eine regelmÃ¤ssige UnterstÃ¼tzung genÃ¼gen wÃ¼rde, so mÃ¼sse zumindest eine wirtschaftliche AbhÃ¤ngigkeit der Hinterlassenen vorausgesetzt werden. Dies sei dann der Fall, wenn die KlÃ¤gerin nach dem Verlust des Versorgers nicht mehr in der Lage sei, ihren Lebensunterhalt selbst zu bestreiten (Urk. 6 S. 2-3). Aufgrund der eingereichten Unterlagen sei die KlÃ¤gerin jedoch weiterhin in der Lage, ihren Lebensunterhalt selbst zu bestreiten und kÃ¶nne sogar im bisherigen Rahmen weiterleben. Ihre laufenden Ausgaben wÃ¼rden mit ihren Einnahmen gedeckt, und sie mÃ¼sse nicht von ihrem VermÃ¶gen zehren (Urk. 6 S. 3).</w:t>
      </w:r>
    </w:p>
    <w:p>
      <w:r>
        <w:t>1.3Â Â Â Â  Nach Auffassung der KlÃ¤gerin ist zur Beurteilung der Wesentlichkeit des Unterhaltsbeitrags massgebend, ob die versorgte Person durch den Tod ihres Versorgers in ihrer bisherigen Lebensweise bedroht oder beeintrÃ¤chtigt ist. Dabei genÃ¼ge es nach der aktuellen Rechtsprechung, dass sich der Lebensstandard des Versorgten verringere, er mÃ¼sse nicht in eine Notlage gelangen (Urk. 1 S. 4, Urk. 8 S. 2).</w:t>
      </w:r>
    </w:p>
    <w:p>
      <w:r>
        <w:t>Der Wortlaut von Art. 37 des Vorsorgereglements spreche nicht fÃ¼r die restriktive Auslegung, wie die Beklagte sie vornehme (Urk. 1 S. 6). Soweit diese sich auf die Mitteilung des BSV berufe, in der der Begriff der ÂUnterstÃ¼tzung in erheblichem MasseÂ konkretisiert werde, so beziehe sich diese auf steuerliche Belange der beruflichen Vorsorge und nicht auf den vorliegend interessierenden Ausdruck Âwesentlicher Beitrag zum Unterhalt des GesuchstellendenÂ. Im Bereich der Ã¼berobligatorischen Versicherung seien die Vorsorgeeinrichtungen in der Umschreibung ihrer Leistungen ohnehin frei und hÃ¤tten sich nicht um allfÃ¤llige steuerliche Privilegierungen der BeitrÃ¤ge zu kÃ¼mmern (Urk. 1 S. 6 f.). Davon abgesehen kÃ¶nne auch nach den Mitteilungen des BSV im Einzelfall vom Kriterium, dass der UnterstÃ¼tzende fÃ¼r mehr als die HÃ¤lfte des Unterhalts aufkommt, abgewichen werden. Massgebend sei auch in diesem Zusammenhang, inwieweit die unterstÃ¼tzte Person auch ohne die Hilfe des Vorsorgenehmers die bisherige Lebensweise weiterfÃ¼hren kÃ¶nne (Urk. 1 S. 8). Das Gebot der rechtsgleichen Behandlung verbiete es im Ã¼brigen, die Konkubinatspartner anders zu behandeln als Witwen und Witwer, bei denen der Anspruch auf Hinterlassenenleistungen nicht vom Erfordernis tatsÃ¤chlicher UnterstÃ¼tzung abhÃ¤ngig gemacht werde (Urk. 1 S. 7).</w:t>
      </w:r>
    </w:p>
    <w:p>
      <w:r>
        <w:t>Eine BeeintrÃ¤chtigung der KlÃ¤gerin durch den Tod des Versicherten liege eindeutig vor. Ihr Partner habe ihr nicht nur jeden Monat Fr. 1'800.-- Ã¼berwiesen, sondern auch mittels VISA-Zahlungen einen Ã¼berwiegenden Teil des allgemeinen Lebensunterhalts beider Konkubinatspartner bestritten und sich zusÃ¤tzlich an den Kosten fÃ¼r grÃ¶ssere Anschaffungen im gemeinsamen Haushalt beteiligt, die gemeinsamen Ferien bezahlt und die Garagen- und Benzinkosten fÃ¼r das Auto der KlÃ¤gerin Ã¼bernommen. Ein weiterer wesentlicher Beitrag zum Unterhalt der KlÃ¤gerin habe in der Ãbernahme der zeitintensiven Gartenarbeiten in der der KlÃ¤gerin gehÃ¶renden Liegenschaft in C.___ durch den Verstorbenen bestanden, der gelernter GÃ¤rtnermeister gewesen sei (Urk. 1 S. 4-5.). Â Â Â Â Â  All diese BeitrÃ¤ge des Versicherten hÃ¤tten fast die HÃ¤lfte der monatlichen Ausgaben der KlÃ¤gerin in der HÃ¶he von rund Fr. 6'600.-- ausgemacht. Da sich ihre Einnahmen lediglich auf Fr. 5'400.-- beliefen, sei es ihr ohne die UnterstÃ¼tzung des Verstorbenen nicht mehr mÃ¶glich, im bisher Ã¼blichen Rahmen weiterzuleben. Vielmehr ergebe sich nun ein AusgabenÃ¼berschuss von Fr. 1'282.-- (Urk. 1 S. 5, Urk. 8 S. 3-4).</w:t>
      </w:r>
    </w:p>
    <w:p>
      <w:r>
        <w:t>BerÃ¼cksichtige man jedoch zusÃ¤tzlich, dass der Verstorbene bei gemeinsamen Restaurantbesuchen stets bezahlt, die HÃ¤lfte der alltÃ¤glichen EinkÃ¤ufe Ã¼bernommen, der KlÃ¤gerin im Jahr 1999 einen Kleinwagen gekauft habe, fÃ¼r dessen Unterhalt er ebenso wie fÃ¼r denjenigen des grÃ¶sseren, von beiden Partnern benutzen Wagens aufgekommen sei, die regelmÃ¤ssigen und ausgedehnten gemeinsamen Ferienreisen und Mobiliar finanziert habe, so beliefen sich die monatlichen UnterstÃ¼tzungsleistungen sogar auf Fr. 3'500.--, mithin auf mehr als die HÃ¤lfte ihrer Ausgaben. Auch bei einer restriktiven Auslegung von Art. 37 des Vorsorgereglements seien damit die Anspruchsvoraussetzungen erfÃ¼llt (Urk. 8 S. 4-5).</w:t>
      </w:r>
    </w:p>
    <w:p>
      <w:r>
        <w:t>Im Ã¼brigen habe die Beklagte gegenÃ¼ber dem in vorsorgerechtlichen Belangen unkundigen Versicherten gegen den Grundsatz des Vertrauensschutzes verstossen, habe dieser doch aufgrund ihres Verhaltens im Zusammenhang mit seinem Gesuch um BegÃ¼nstigung der KlÃ¤gerin davon ausgehen dÃ¼rfen, dass die HÃ¶he der Unterhaltszahlungen als Anspruchsgrundlage fÃ¼r Hinterbliebenenleistungen an BegÃ¼nstigte von untergeordneter Bedeutung seien und dass durch den Nachweis regelmÃ¤ssiger Zahlungen die reglementarischen Bedingungen nach Art. 37 des Reglements erfÃ¼llt seien (Urk. 1 S. 8 f., Urk. 10 S. 5 f.).</w:t>
      </w:r>
    </w:p>
    <w:p>
      <w:r>
        <w:rPr>
          <w:b/>
        </w:rPr>
        <w:t>E. 2</w:t>
      </w:r>
    </w:p>
    <w:p>
      <w:r>
        <w:t>2.1Â Â Â Â  Vorliegend stellt sich die Frage nach der Auslegung der im Reglement nicht nÃ¤her umschriebenen Voraussetzung, dass der Versicherte "wesentlich" zum Unterhalt der Gesuchstellenden beigetragen habe.</w:t>
      </w:r>
    </w:p>
    <w:p>
      <w:r>
        <w:t>Â Â Â Â Â Â Â Â  Da die Beschwerdegegnerin eine Vorsorgeeinrichtung des Ã¶ffentlichen Rechts ist (vgl. Art. 1 Abs. 1 des Reglements), sind die Regeln der Gesetzesauslegung auch fÃ¼r die Ermittlung des Sinns der statutarischen Ordnung massgebend (BGE 128 V 118 mit Hinweis auf SVR 2000 BVG Nr. 11 S. 55). Das Gesetz ist in erster Linie nach seinem Wortlaut auszulegen. Ist der Text nicht ganz klar und sind verschiedene Auslegungen mÃ¶glich, so muss nach seiner wahren Tragweite gesucht werden unter BerÃ¼cksichtigung aller Auslegungselemente, namentlich des Zwecks, des Sinns und der dem Text zugrunde liegenden Wertung. Wichtig ist ebenfalls der Sinn, der einer Norm im Kontext zukommt. Vom klaren, das heisst eindeutigen und unmissverstÃ¤ndlichen Wortlaut darf nur ausnahmsweise abgewichen werden, unter anderem dann, wenn triftige GrÃ¼nde dafÃ¼r vorliegen, dass der Wortlaut nicht den wahren Sinn der Bestimmung wiedergibt. Solche GrÃ¼nde kÃ¶nnen sich aus der Entstehungsgeschichte der Bestimmung, aus ihrem Grund und Zweck oder aus dem Zusammenhang mit anderen Vorschriften ergeben. Ausnahmeregelungen sind weder restriktiv noch extensiv, sondern nach ihrem Sinn und Zweck im Rahmen der allgemeinen Regelung auszulegen (Hans-Ulrich Stauffer, Berufliche Vorsorge, ZÃ¼rich 2005, Rz. 1341).</w:t>
      </w:r>
    </w:p>
    <w:p>
      <w:r>
        <w:t>2.2Â Â Â Â  Das EidgenÃ¶ssische Versicherungsgericht behandelt die Formulierungen "fÃ¼r den Unterhalt in massgeblicher Weise aufkommen", "UnterstÃ¼tzung in erheblichem Masse" und "fÃ¼r den Unterhalt ganz oder teilweise aufkommen", wie sie im Zusammenhang mit der vor Inkrafttreten von Art. 20a BVG ausschliesslich dem Ã¼berobligatorischen Bereich vorbehaltenen BegÃ¼nstigung von Hinterbliebenen in einzelnen Reglementen und Gesetzen verwendet werden, als analoge Begriffe und bezieht sich fÃ¼r deren Auslegung auf Art. 15 Abs. 1 lit. b Ziff. 2 der FreizÃ¼gigkeitsverordnung (FZV, bis Ende 2004 gÃ¼ltig gewesene Fassung) und Art. 2 Abs. 1 lit. b Ziff. 2 der Verordnung Ã¼ber die steuerliche Abzugsberechtigung fÃ¼r BeitrÃ¤ge an anerkannte Vorsorgeformen (BVV 3, bis Ende 2004 gÃ¼ltig gewesene Fassung) sowie auf Art. 6 Abs. 1 lit. b Ziff. 2 der frÃ¼heren Verordnung Ã¼ber die Erhaltung des Vorsorgeschutzes vom 12. November 1986 und die diesbezÃ¼gliche Mitteilung des BSV Ã¼ber die berufliche Vorsorge vom 22. April 1987 (BGE 128 V Erw. 5.1; vgl. auch Stauffer, a.a.O. Rz. 700).</w:t>
      </w:r>
    </w:p>
    <w:p>
      <w:r>
        <w:t>Â Â Â Â Â Â Â Â  Entgegen der Auffassung der KlÃ¤gerin kÃ¶nnen diese Erlasse bei der Auslegung von Art. 37 des Reglements und der darin enthaltenen Formulierung "wesentlich zum Unterhalt der Gesuchstellenden beitragen" nicht unberÃ¼cksichtigt bleiben, stiess doch die EinfÃ¼hrung eines Leistungsanspruchs fÃ¼r nicht verheiratete Partner bis zur 1. BVG-Revision auf Schwierigkeiten, die primÃ¤r steuerrechtlicher Natur waren. So engte die Bundessteuerverwaltung den Kreis mÃ¶glicher Anspruchsberechtigter ein, indem nur solche Personen fÃ¼r Leistungen der beruflichen Vorsorge begÃ¼nstigt werden konnten, die vom Vorsorgenehmer im Zeitpunkt seines Todes oder in den letzten Jahren vor seinem Tod in erheblichem Masse unterstÃ¼tzt worden waren (Stauffer, a.a.O., Rz. 701 mit Hinweis auf Kreisschreiben der EidgenÃ¶ssischen Steuerverwaltung Nr. 1 vom 30. Januar 1986 und Nr. 1a vom 20. August 1986).</w:t>
      </w:r>
    </w:p>
    <w:p>
      <w:r>
        <w:t>2.3Â Â Â Â  Nach Art. 2 der gestÃ¼tzt auf Art. 82 Abs. 2 BVG ergangenen BVV 3 in der bis Ende 2004 gÃ¼ltig gewesenen Fassung sind als BegÃ¼nstigte nach dem Ableben des Vorsorgenehmers nach dem Ã¼berlebenden Ehegatten unter anderem Personen zugelassen, fÃ¼r deren Unterhalt der Verstorbene in massgeblicher Weise aufgekommen ist (Abs. 1 lit. b Ziff. 2). Der Vorsorgenehmer hat das Recht, die Reihenfolge der BegÃ¼nstigten zu Ã¤ndern und deren AnsprÃ¼che nÃ¤her zu bezeichnen (Abs. 2).</w:t>
      </w:r>
    </w:p>
    <w:p>
      <w:r>
        <w:t>Â Â Â Â Â Â Â Â  Art. 15 FZV in der bis Ende 2004 gÃ¼ltig gewesene Fassung hÃ¤lt fest, dass fÃ¼r die Erhaltung des Vorsorgeschutzes als BegÃ¼nstigte im Todesfall an erster Stelle die Hinterlassenen nach BVG und der Witwer (Abs. 1 lit. b Ziff. 1), an zweiter Stelle natÃ¼rliche Personen, die von den Versicherten in erheblichem Masse unterstÃ¼tzt worden sind (Abs. 1 lit. b Ziff. 2), und an dritter Stelle Ã¼brige gesetzliche Erben, unter Ausschluss des Gemeinwesens, gelten (Abs. 1 lit. b Ziff. 3). Die Versicherten kÃ¶nnen im Vertrag die AnsprÃ¼che der BegÃ¼nstigten nÃ¤her bezeichnen und den Kreis von Personen nach Abs. 1 lit. b Ziff. 1 mit solchen nach Ziff. 2 erweitern (Abs. 2).</w:t>
      </w:r>
    </w:p>
    <w:p>
      <w:r>
        <w:t>Â Â Â Â Â Â Â Â  Die von der Beklagten herangezogene Mitteilung des BSV Ã¼ber die berufliche Vorsorge vom 22. April 1987 bezieht sich auf den damaligen, mit dem FreizÃ¼gigkeitsgesetz aufgehobenen Art. 29 Abs. 4 BVG, auf Art. 6 Abs. 1 lit. b Ziff. 2 der mit Art. 21 der FZV aufgehobenen Verordnung Ã¼ber die Erhaltung des Vorsorgeschutzes und FreizÃ¼gigkeit sowie auf Art. 82 BVG und Art. 2 Abs. 1 lit. b Ziff. 2 BVV 3 in der bis Ende 2004 gÃ¼ltig gewesenen Fassung. Es wird darin festgehalten, dass als BegÃ¼nstigte auch Personen gelten, die vom Vorsorgenehmer in erheblichem Masse unterstÃ¼tzt worden sind beziehungsweise fÃ¼r deren Unterhalt er in massgeblicher Weise aufgekommen ist. Dieses Kriterium wÃ¼rden nicht nur diejenigen FÃ¤lle erfÃ¼llen, in denen eine UnterstÃ¼tzungspflicht im Sinne von Art. 328 des Zivilgesetzbuches (ZGB) bestehe. Es kÃ¤men auch andere Sachverhalte in Frage, in denen eine tatsÃ¤chliche UnterstÃ¼tzung vorliege. Dabei mÃ¼sse der Vorsorgenehmer gegenÃ¼ber dem BegÃ¼nstigten die Funktion des Versorgers haben. Dies kÃ¶nne dann angenommen werden, wenn jener fÃ¼r mehr als die HÃ¤lfte des Unterhaltes der unterstÃ¼tzten Person aufkomme. Auf jeden Fall mÃ¼sse es sich beim BegÃ¼nstigten um eine Person handeln, die wirtschaftlich und nicht bloss ideell vom Vorsorgenehmer abhÃ¤ngig sei. Dies treffe dann zu, wenn dem Anspruchsberechtigten eine wesentliche BeeintrÃ¤chtigung seiner bisherigen Lebensweise drohe. Er solle im Rahmen des Ãblichen so weiterleben kÃ¶nnen wie bisher. Im Weiteren mÃ¼sse es sich um eine regelmÃ¤ssige UnterstÃ¼tzung handeln. Ob der Konkubinatspartner BegÃ¼nstigter sein kÃ¶nne, hÃ¤nge somit auch von der Dauer des Konkubinates ab.</w:t>
      </w:r>
    </w:p>
    <w:p>
      <w:r>
        <w:t>Â Â Â Â Â Â Â Â  Zur Auslegung des Begriffs der erheblichen UnterstÃ¼tzung hielt das EidgenÃ¶ssische Versicherungsgericht im unverÃ¶ffentlichten Urteil vom 2. Juli 1997, B 34/96, fest, die blosse Teilung der gemeinsamen Lebenshaltungskosten spreche nicht fÃ¼r eine erhebliche UnterstÃ¼tzung (SZS 1998 72).</w:t>
      </w:r>
    </w:p>
    <w:p>
      <w:r>
        <w:t>Â Â Â Â Â Â Â Â  Aus diesem Entscheid liess sich indes laut dem unter BGE 131 V 27 ff. verÃ¶ffentlichten Urteil vom 19. November 2004, B 96/02 nicht der Schluss ziehen, eine UnterstÃ¼tzung kÃ¶nne nur dann als "massgeblich" beziehungsweise "erheblich" betrachtet werden, wenn der Vorsorgenehmer fÃ¼r mehr als die HÃ¤lfte des Unterhalts der unterstÃ¼tzten Person aufkomme. Vielmehr lasse sich daraus nur folgern, dass im Falle einer Haushaltgemeinschaft der verstorbene Vorsorgenehmer mehr als die Ã¼brigen Beteiligten zur Bestreitung der gemeinsamen Lebenshaltungskosten beigetragen haben mÃ¼sse. Um wie viel hÃ¶her dieser Beitrag des Vorsorgenehmers auszufallen habe, damit von einer "UnterstÃ¼tzung in erheblichem Masse" gesprochen werden kÃ¶nne, lasse sich dem in SZS 1998 72 wiedergegebenen Urteil nicht entnehmen. Das EidgenÃ¶ssische Versicherungsgericht liess offen, ob der verstorbene Vorsorgenehmer tatsÃ¤chlich fÃ¼r mehr als die HÃ¤lfte des Unterhalts der unterstÃ¼tzten Person aufkommen mÃ¼sse, oder ob es bereits genÃ¼ge, dass er im Vergleich zur mit ihm im selben Haushalt lebenden Person einen Ã¼berwiegenden Beitrag an die gemeinsamen Lebenshaltungskosten zu leisten hat (BGE 131 V 31 f. Erw. 5.1). Im Hinblick auf den Vorsorgezweck komme eine Besserstellung einzelner Vertreter der im Personalvorsorgereglement bezeichneten Personengruppen von vornherein nur in Frage, wenn der Vorsorgenehmer im Zeitpunkt des Todes gegenÃ¼ber der zu begÃ¼nstigenden Person die Stellung eines Versorgers innegehabt habe. Dies sei dann der Fall, wenn der bisher unterstÃ¼tzten Person durch den Tod des Versicherten in finanzieller Hinsicht eine wesentliche BeeintrÃ¤chtigung ihrer gewohnten Lebensweise drohe, was sich in erster Linie nach den wirtschaftlichen VerhÃ¤ltnissen der versicherten - allenfalls auch nach denjenigen der zu begÃ¼nstigenden - Person bemesse (BGE 131 V 33 f. Erw. 5.2).</w:t>
      </w:r>
    </w:p>
    <w:p>
      <w:r>
        <w:t>3.Â Â Â Â Â Â  Vorliegend kann aufgrund der BankbestÃ¤tigung vom 28. Mai 2004 (Urk. 7/13) als erwiesen angenommen werden, dass B.___ der KlÃ¤gerin seit dem 29. Juni 1992 bis zu seinem Tod regelmÃ¤ssig, das heisst monatlich, Fr. 1'800.-- zukommen liess.</w:t>
      </w:r>
    </w:p>
    <w:p>
      <w:r>
        <w:t>Â Â Â Â Â Â Â Â  Nicht rechtsgenÃ¼glich nachgewiesen ist jedoch die behauptete weitergehende Ãbernahme der gemeinsamen Lebenshaltungskosten. Dass B.___ gemÃ¤ss vorgelegten Posteinzahlungsbelegen der Jahre 1998 bis 2001 (Urk. 11/1) Zahlungen fÃ¼r Ferienreisen, Visarechnungen und -einlagen, Autospesen, Photolaborkosten und andere Rechnungen tÃ¤tigte, dass er den Kaufvertrag fÃ¼r das von der KlÃ¤gerin benutzte Auto abschloss (Urk. 11/2), dass die Garagenrechnungen (Urk. 11/3) an ihn und die Rechnungen fÃ¼r Ferienreisen teilweise an ihn adressiert waren (Urk. 11/5), lÃ¤sst nÃ¤mlich keine RÃ¼ckschlÃ¼sse darÃ¼ber zu, ob dafÃ¼r ausschliesslich seine eigenen Mittel eingesetzt wurden. Auch sagen die Zahlungsbelege und Rechnungen nichts darÃ¼ber aus, inwieweit diese tatsÃ¤chlich die Kosten des gemeinsamen Lebensunterhalts betrafen. Zumindest fÃ¼r die in den Posteinzahlungsbelegen (Urk. 11/1) regelmÃ¤ssig ausgewiesenen Vorsorgeeinlagen bei der D.___ und fÃ¼r die Zahlungen an die E.___-Krankenkasse kann dies ausgeschlossen werden, scheinen diese doch einzig B.___ betroffen zu haben.</w:t>
      </w:r>
    </w:p>
    <w:p>
      <w:r>
        <w:t>Â Â Â Â Â Â Â Â  Hinzu kommt, dass nicht ersichtlich ist, wie die Konkubinatspartner ihre finanziellen Angelegenheiten untereinander regelten. Es muss daher offen bleiben, ob die KlÃ¤gerin ihrem Lebenspartner die monatlichen BankÃ¼berweisungen oder allenfalls zu ihren Gunsten getÃ¤tigte Visa- und BancomatbezÃ¼ge (Urk. 11/5) in Form von Geld oder Naturalleistungen zurÃ¼ckerstattete. Ohne PrÃ¼fung der wirtschaftlichen VerhÃ¤ltnisse beider Konkubinatspartner kann daher nicht entschieden werden, ob die KlÃ¤gerin zur Bestreitung ihres Lebensunterhalts auf die regelmÃ¤ssigen BeitrÃ¤ge oder gar auf eine weitergehende UnterstÃ¼tzung von B.___ angewiesen war.</w:t>
      </w:r>
    </w:p>
    <w:p>
      <w:r>
        <w:rPr>
          <w:b/>
        </w:rPr>
        <w:t>E. 4</w:t>
      </w:r>
    </w:p>
    <w:p>
      <w:r>
        <w:t>4.1Â Â Â Â  Der Steuerwert der der KlÃ¤gerin gehÃ¶renden Liegenschaften in C.___, F.___ und G.___ belief sich im Jahr 2003 gemÃ¤ss SteuererklÃ¤rung auf Fr. 1'274'450.--. ZusÃ¤tzlich verfÃ¼gte die KlÃ¤gerin per 31. Dezember 2003 Ã¼ber Wertschriften im Gesamtbetrag von Fr. 446'833.--. Die von ihr im Formular zur PrÃ¼fung des Versorgerschadens (Urk. 2/10) geltend gemachten monatlichen Ausgaben von total Fr. 6'676.-- setzen sich wie folgte zusammen:</w:t>
      </w:r>
    </w:p>
    <w:p>
      <w:r>
        <w:t>- Unterhaltskosten Liegenschaft in C.___Â Â Â  Fr.Â Â Â Â Â  2'037.--</w:t>
      </w:r>
    </w:p>
    <w:p>
      <w:r>
        <w:t>- HypothekarzinsÂ Â Â Â Â Â Â Â Â Â Â Â Â Â Â Â Â Â Â Â Â Â Â Â Â Â Â Â Â Â Â Â Â Â Â Â Â Â Â Â Â Â Â Â  Fr.Â Â Â Â Â  1'233.--</w:t>
      </w:r>
    </w:p>
    <w:p>
      <w:r>
        <w:t>- KrankenkasseÂ Â Â Â Â Â Â Â Â Â Â Â Â Â Â Â Â Â Â Â Â Â Â Â Â Â Â Â Â Â Â Â Â Â Â Â Â Â Â Â Â Â Â Â Â Â  Fr.Â Â Â Â Â  Â Â  276.--</w:t>
      </w:r>
    </w:p>
    <w:p>
      <w:r>
        <w:t>- SteuernÂ Â Â Â Â Â Â Â Â Â Â Â Â Â Â Â Â Â Â Â Â Â Â Â Â Â Â Â Â Â Â Â Â Â Â Â Â Â Â Â Â Â Â Â Â Â Â Â Â Â Â Â Â Â  Fr.Â Â Â Â Â  Â Â  820.--</w:t>
      </w:r>
    </w:p>
    <w:p>
      <w:r>
        <w:t>- TV/Telefon/AbonnementsÂ Â Â Â Â Â Â Â Â Â Â Â Â Â Â Â Â Â Â Â Â Â Â Â Â Â Â Â Â Â Â  Fr.Â Â Â Â Â  Â Â  200.--</w:t>
      </w:r>
    </w:p>
    <w:p>
      <w:r>
        <w:t>- VermÃ¶gensverwaltungskostenÂ Â Â Â Â Â Â Â Â Â Â Â Â Â Â Â Â Â Â Â Â Â Â Â Â  Fr.Â Â Â Â Â  Â Â  100.--</w:t>
      </w:r>
    </w:p>
    <w:p>
      <w:r>
        <w:t>- VersicherungenÂ Â Â Â Â Â Â Â Â Â Â Â Â Â Â Â Â Â Â Â Â Â Â Â Â Â Â Â Â Â Â Â Â Â Â Â Â Â Â Â Â Â Â Â  Fr.Â Â Â Â Â  Â Â  230.--</w:t>
      </w:r>
    </w:p>
    <w:p>
      <w:r>
        <w:t>- LebenskostenÂ Â Â Â Â Â Â Â Â Â Â Â Â Â Â Â Â Â Â Â Â Â Â Â Â Â Â Â Â Â Â Â Â Â Â Â Â Â Â Â Â Â Â Â Â Â Â  Fr.Â Â Â Â Â  1'200.--</w:t>
      </w:r>
    </w:p>
    <w:p>
      <w:r>
        <w:t>- Arzt/Zahnarzt/OptikerÂ Â Â Â Â Â Â Â Â Â Â Â Â Â Â Â Â Â Â Â Â Â Â Â Â Â Â Â Â Â Â Â Â Â Â  Fr.Â Â Â Â Â  Â Â  150.--</w:t>
      </w:r>
    </w:p>
    <w:p>
      <w:r>
        <w:t>- FahrspesenÂ Â Â Â Â Â Â Â Â Â Â Â Â Â Â Â Â Â Â Â Â Â Â Â Â Â Â Â Â Â Â Â Â Â Â Â Â Â Â Â Â Â Â Â Â Â Â Â Â Â  Fr.Â Â Â Â Â  Â Â  180.--</w:t>
      </w:r>
    </w:p>
    <w:p>
      <w:r>
        <w:t>- RÃ¼ckstellungen Ferien, WeiterbildungÂ Â Â Â Â Â Â Â Â Â Â Â Â Â Â  Fr.Â Â Â Â Â  Â Â Â  250.--</w:t>
      </w:r>
    </w:p>
    <w:p>
      <w:r>
        <w:t>Â Â Â Â Â Â Â Â  Die monatlichen - aus Rentenleistungen der AHV, der Pensionskasse und einer Lebensversicherung bestehenden - EinkÃ¼nfte belaufen sich unbestrittenermassen auf Fr. 4'241.--. Daraus und aus dem von der KlÃ¤gerin mit Fr. 1'153.-- bezifferten VermÃ¶gensertrag ergeben sich EinkÃ¼nfte von Fr. 5'394.--.</w:t>
      </w:r>
    </w:p>
    <w:p>
      <w:r>
        <w:t>Â Â Â Â Â Â Â Â  Umstritten sind auf der Ausgabenseite die Unterhaltskosten der Liegenschaft und die Hypothekarzinsen, auf der Einnahmenseite der VermÃ¶gensertrag.</w:t>
      </w:r>
    </w:p>
    <w:p>
      <w:r>
        <w:t>4.2Â Â Â Â  Wenn die KlÃ¤gerin den monatlichen VermÃ¶gensertrag mit Fr. 1'153.-- beziffert, so beruht dies auf den Ãberlegungen, die sie im Formular zur PrÃ¼fung des Versorgerschadens (Urk. 2/10) anbrachte. Diese sind jedoch nicht nachvollziehbar und werden in den Rechtsschriften, namentlich in Ziffer 3.2 der Replik (Urk. 10 S. 3), nicht erlÃ¤utert. Zu Recht weist die Beklagte in diesem Zusammenhang darauf hin, dass sich aus der SteuererklÃ¤rung der KlÃ¤gerin per 2003 ein monatlicher Wertschriftenertrag von rund Fr. 525.-- (= Fr. 6'521.-- : 12) ergebe und dass aus der von ihr bewohnten und teilweise vermieteten Liegenschaft in C.___ Mietzinseinnahmen von Fr. 28'000.-- pro Jahr oder Fr. 2'333.-- pro Monat resultieren (Urk. 6 S. 3, Urk. 7/6/3 Ziff. 4, Urk. 7/6/8).</w:t>
      </w:r>
    </w:p>
    <w:p>
      <w:r>
        <w:t>Â Â Â Â Â Â Â Â  Die in der SteuererklÃ¤rung ausgewiesenen Mieteinnahmen (Urk. 7/6/8) kÃ¶nnen denn auch auf der Einnahmenseite nicht unberÃ¼cksichtigt bleiben, zumal deren Vorhandensein von der anwaltlich vertretenen KlÃ¤gerin nicht bestritten wird. Andererseits sind auf der Ausgabenseite nebst den Hypothekarzinsen, die gemÃ¤ss SteuererklÃ¤rung 2003 lediglich Fr. 1'140.-- pro Monat (= Fr. 13'688.-- : 12; Urk. 7/6/3 Ziff. 12.1) betrugen, die Unterhaltskosten der Liegenschaften zu berÃ¼cksichtigen. Da sich die KlÃ¤gerin bezÃ¼glich der Liegenschaft C.___ in der SteuererklÃ¤rung 2003 auf den Pauschalabzug von 20 % des Eigenmietwertes von Fr. 12'560.-- und von 10 % des Mietertrages beschrÃ¤nkte (Urk. 7/6/8), kann von vornherein ausgeschlossen werden, dass der Unterhalt der von ihr teilweise selbst genutzten Liegenschaft Fr. 5'312.-- pro Jahr oder Fr. 443.-- pro Monat Ã¼berstieg. Unter BerÃ¼cksichtigung der Unterhaltskosten der ebenfalls selbst genutzten Liegenschaft in F.___, die effektiv Fr. 2'878.-- pro Jahr oder Fr. 240.-- pro Monat betrugen (Urk. 7/6/9), ergeben sich monatliche Unterhaltskosten von insgesamt Fr. 683.--. Dieser Betrag ist auf Fr. 900.-- aufzurunden, um allfÃ¤lligen RÃ¼ckstellungen fÃ¼r grÃ¶ssere Reparaturen sowie Garten- und Unterhaltsarbeiten, fÃ¼r die nach B.___s Tod nunmehr zusÃ¤tzliche Kosten anfallen, Rechnung zu tragen.</w:t>
      </w:r>
    </w:p>
    <w:p>
      <w:r>
        <w:t>Â Â Â Â Â Â Â Â  Die von der KlÃ¤gerin angegebenen Einnahmen sind demnach insofern zu korrigieren, als der VermÃ¶gensertrag statt mit Fr. 1'153.-- mit Fr. 2'858.-- (= Fr. 525.-- + Fr. 2'333.--) zu bemessen und von monatlichen Einnahmen von Fr. 7'099.-- auszugehen ist. Auf der Ausgabenseite ergeben sich in der Zusammenstellung der KlÃ¤gerin bei den Unterhaltskosten und den Hypothekarzinsen insofern Ãnderungen, als statt Fr. 2'037.-- Fr. 900.-- und statt Fr. 1'233.-- Fr. 1'140.-- einzusetzen sind, so dass sich das Total von Fr. 6'676.-- um Fr. 1'230.-- auf Fr. 5'446.-- reduziert.</w:t>
      </w:r>
    </w:p>
    <w:p>
      <w:r>
        <w:t>Â Â Â Â Â Â Â Â  Selbst wenn man aufgrund der Untersuchungsmaxime der auf dem Formular angebrachten Bemerkung der KlÃ¤gerin, fÃ¼r die Krankenkasse mehr als Fr. 276.-- zu bezahlen (Urk. 2/10), Rechnung trÃ¤gt und ihre Ausgaben insgesamt mit Fr. 5'700.-- bemisst, verbleibt somit ein EinnahmenÃ¼berschuss von Fr. 1'399.--. Aufgrund ihrer wirtschaftlichen Situation kann demnach ausgeschlossen werden, dass sie zur Bestreitung ihres Lebensunterhaltes auf die finanzielle UnterstÃ¼tzung ihres Konkubinatspartners angewiesen war oder dass sie nach seinem Tod und dem damit verbunden Wegfall seiner regelmÃ¤ssigen BeitrÃ¤ge ihre gewohnte Lebensweise mit ihren eigenen finanziellen Mitteln nicht mehr weiterfÃ¼hren kann.</w:t>
      </w:r>
    </w:p>
    <w:p>
      <w:r>
        <w:t>4.3Â Â Â Â  Die wirtschaftlichen VerhÃ¤ltnisse des verstorbenen B.___ deuten im Ã¼brigen nicht darauf hin, dass er gegenÃ¼ber der KlÃ¤gerin die Stellung eines Versorgers innehatte. GemÃ¤ss Lohnausweis 2003 betrug sein Nettoeinkommen nÃ¤mlich Fr. 78'300.-- (Urk. 7/13/2). Dass er zusÃ¤tzlich Ã¼ber erhebliche VermÃ¶gensertrÃ¤ge verfÃ¼gte, wurde seitens der KlÃ¤gerin nicht geltend gemacht. Es kann daher davon ausgegangen werden, dass sich seine EinkÃ¼nfte im gleichen Rahmen wie diejenigen der KlÃ¤gerin oder gar etwas darunter bewegten, ist doch ihr Jahreseinkommen gemÃ¤ss obiger Berechnung immerhin mit Fr. 85'188.-- (= Fr. 7'099.-- x 12) zu bemessen. Hinzu kommt, dass sie mit ihrer Altersrente der Pensionskasse in der HÃ¶he von Fr. 1'203.-- und einer Leibrente von Fr. 928.-- (Urk. 7/6/1) selber Ã¼ber eine Altersvorsorge verfÃ¼gt, die pro Jahr zu EinkÃ¼nften von Fr. 25'572.-- (= Fr. 2'131.-- x 12) fÃ¼hrt und mit der der Wegfall ihres jÃ¤hrlichen Erwerbseinkommens von Fr. 29'829.-- netto (Urk. 7/13/3) weitgehend kompensiert wird. Auch im Hinblick auf ihr Alter bedurfte sie daher seitens ihres Lebenspartners keiner finanzieller Absicherung.</w:t>
      </w:r>
    </w:p>
    <w:p>
      <w:r>
        <w:t>Â Â Â Â Â Â Â Â  Aufgrund der konkreten wirtschaftlichen VerhÃ¤ltnisse beider Konkubinatspartner kann folglich das reglementarisch ausdrÃ¼cklich vorgesehene und aus steuer- und vorsorgerechtlicher Sicht allgemein vorausgesetzte Erfordernis der wesentlichen UnterstÃ¼tzung durch den Vorsorgenehmer nicht als gegeben erachtet werden. Die KlÃ¤gerin hat daher keinen Anspruch auf reglementarische Hinterbliebenenleistungen.</w:t>
      </w:r>
    </w:p>
    <w:p>
      <w:r>
        <w:t>5.Â Â Â Â Â Â  Wenn die KlÃ¤gerin unter Berufung auf den in Art. 8 der Bundesverfassung (BV) verankerten Gleichbehandlungsgrundsatz geltend macht, als Ã¼berlebende Konkubinatspartnerin anders behandelt zu werden als verwitwete Personen, bei denen der Anspruch auf Hinterlassenenleistungen nicht vom Erfordernis tatsÃ¤chlicher UnterstÃ¼tzung abhÃ¤ngig gemacht werde (Urk. 1 S. 7), so fÃ¼hrt dies nicht zu einem anderen Ergebnis. Denn dem Konkubinat und der Ehe liegen unterschiedliche Rechtsbeziehungen zugrunde, die eine Ungleichbehandlung ohne weiteres zu rechtfertigen vermÃ¶gen oder gar nahe legen (vgl. dazu Urteil des EidgenÃ¶ssischen Versicherungsgerichts vom 14. Juli 2004, i. S. K., U 104/03, Erw. 3.1).</w:t>
      </w:r>
    </w:p>
    <w:p>
      <w:r>
        <w:t>Â Â Â Â Â Â Â Â  Der von der KlÃ¤gerin des weiteren angerufene Grundsatz von Treu und Glauben (Urk. 1 S. 8 f., Urk. 10 S. 5 f.) vermag ebenfalls keinen Anspruch auf Hinterlassenenleistungen zu begrÃ¼nden. Dass der Fall einer unrichtigen Auskunft einer BehÃ¶rde zu einer vom materiellen Recht abweichenden Behandlung der rechtsuchenden Person fÃ¼hren kann (BGE 127 I 36 Erw. 3a, 126 II 387 Erw. 3a; RKUV 2000 Nr. KV 126 S. 223), setzt unter anderem voraus, dass der BÃ¼rger Dispositionen getroffen hat, die nicht ohne Nachteil rÃ¼ckgÃ¤ngig gemacht werden kÃ¶nnen, oder er im Vertrauen auf die Richtigkeit einer behÃ¶rdlichen Auskunft oder Anordnung es unterlassen hat, Dispositionen zu treffen, die nicht mit dem frÃ¼her mÃ¶glichen Erfolg nachgeholt werden kÃ¶nnen (BGE 121 V 67 Erw. 2b mit Hinweisen).</w:t>
      </w:r>
    </w:p>
    <w:p>
      <w:r>
        <w:t>Â Â Â Â Â Â Â Â  Entgegen der Auffassung der KlÃ¤gerin enthalten die Antwortschreiben der Beklagten aus den Jahren 1999, 2001 und 2003 (Urk. 7/15-16, 7/19, 7/21 auf die verschiedenen Gesuche von B.___, seine Lebenspartnerin bei seinem Ableben zu begÃ¼nstigen (Urk. 7/17-18, 7/20, 7/22), keine falschen AuskÃ¼nfte. Vielmehr gab die Beklagte die Rechtslage jeweils korrekt wieder und machte den Versicherten sogar auf die damit verbundenen Beweisschwierigkeiten aufmerksam. Davon abgesehen, legt die KlÃ¤gerin nicht dar, inwiefern sie oder B.___ aufgrund der erhaltenen Angaben irgendwelche Dispositionen getroffen oder unterlassen hÃ¤tten. Dass B.___ sich aufgrund der AuskÃ¼nfte nicht zur ErhÃ¶hung seiner monatlichen Ãberweisungen an die KlÃ¤gerin veranlasst fÃ¼hlte, ist jedenfalls ohne Belang, hÃ¤tte sich dadurch doch gesamthaft betrachtet an den effektiven wirtschaftlichen Gegebenheiten beider Konkubinatspartner nichts geÃ¤ndert.</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Ueli Kieser</w:t>
      </w:r>
    </w:p>
    <w:p>
      <w:r>
        <w:t>- Pensionskasse Stadt ZÃ¼rich</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